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360" w:lineRule="auto"/>
        <w:jc w:val="both"/>
        <w:rPr>
          <w:rFonts w:ascii="宋体" w:hAnsi="宋体" w:eastAsia="宋体" w:cs="宋体"/>
          <w:b/>
          <w:kern w:val="2"/>
          <w:sz w:val="21"/>
          <w:szCs w:val="21"/>
        </w:rPr>
      </w:pPr>
    </w:p>
    <w:p>
      <w:pPr>
        <w:adjustRightInd w:val="0"/>
        <w:snapToGrid w:val="0"/>
        <w:spacing w:line="360" w:lineRule="auto"/>
        <w:jc w:val="both"/>
        <w:rPr>
          <w:rFonts w:ascii="宋体" w:hAnsi="宋体" w:eastAsia="宋体"/>
          <w:snapToGrid w:val="0"/>
          <w:sz w:val="24"/>
          <w:szCs w:val="24"/>
        </w:rPr>
      </w:pPr>
    </w:p>
    <w:p>
      <w:pPr>
        <w:adjustRightInd w:val="0"/>
        <w:snapToGrid w:val="0"/>
        <w:spacing w:line="360" w:lineRule="auto"/>
        <w:jc w:val="both"/>
        <w:rPr>
          <w:rFonts w:ascii="宋体" w:hAnsi="宋体" w:eastAsia="宋体"/>
          <w:snapToGrid w:val="0"/>
          <w:sz w:val="24"/>
          <w:szCs w:val="24"/>
        </w:rPr>
      </w:pPr>
    </w:p>
    <w:p>
      <w:pPr>
        <w:adjustRightInd w:val="0"/>
        <w:snapToGrid w:val="0"/>
        <w:spacing w:line="360" w:lineRule="auto"/>
        <w:jc w:val="both"/>
        <w:rPr>
          <w:rFonts w:ascii="宋体" w:hAnsi="宋体" w:eastAsia="宋体"/>
          <w:snapToGrid w:val="0"/>
          <w:sz w:val="24"/>
          <w:szCs w:val="24"/>
        </w:rPr>
      </w:pPr>
    </w:p>
    <w:p>
      <w:pPr>
        <w:adjustRightInd w:val="0"/>
        <w:snapToGrid w:val="0"/>
        <w:spacing w:line="360" w:lineRule="auto"/>
        <w:jc w:val="center"/>
        <w:rPr>
          <w:rFonts w:ascii="宋体" w:hAnsi="宋体" w:eastAsia="宋体"/>
          <w:b/>
          <w:snapToGrid w:val="0"/>
          <w:sz w:val="28"/>
          <w:szCs w:val="28"/>
        </w:rPr>
      </w:pPr>
      <w:r>
        <w:rPr>
          <w:rFonts w:hint="eastAsia" w:ascii="黑体" w:hAnsi="黑体" w:eastAsia="黑体"/>
          <w:b/>
          <w:bCs/>
          <w:sz w:val="52"/>
          <w:szCs w:val="52"/>
        </w:rPr>
        <w:t>南京大学仙林</w:t>
      </w:r>
      <w:r>
        <w:rPr>
          <w:rFonts w:ascii="黑体" w:hAnsi="黑体" w:eastAsia="黑体"/>
          <w:b/>
          <w:bCs/>
          <w:sz w:val="52"/>
          <w:szCs w:val="52"/>
        </w:rPr>
        <w:t>校区</w:t>
      </w:r>
      <w:r>
        <w:rPr>
          <w:rFonts w:hint="eastAsia" w:ascii="黑体" w:hAnsi="黑体" w:eastAsia="黑体"/>
          <w:b/>
          <w:bCs/>
          <w:sz w:val="52"/>
          <w:szCs w:val="52"/>
        </w:rPr>
        <w:t>计算机学院楼供电增容改造</w:t>
      </w:r>
      <w:r>
        <w:rPr>
          <w:rFonts w:ascii="黑体" w:hAnsi="黑体" w:eastAsia="黑体"/>
          <w:b/>
          <w:bCs/>
          <w:sz w:val="52"/>
          <w:szCs w:val="52"/>
        </w:rPr>
        <w:t>工程</w:t>
      </w:r>
    </w:p>
    <w:p>
      <w:pPr>
        <w:adjustRightInd w:val="0"/>
        <w:snapToGrid w:val="0"/>
        <w:spacing w:line="360" w:lineRule="auto"/>
        <w:jc w:val="center"/>
        <w:rPr>
          <w:rFonts w:ascii="宋体" w:hAnsi="宋体" w:eastAsia="宋体"/>
          <w:b/>
          <w:snapToGrid w:val="0"/>
          <w:sz w:val="28"/>
          <w:szCs w:val="28"/>
        </w:rPr>
      </w:pPr>
    </w:p>
    <w:p>
      <w:pPr>
        <w:adjustRightInd w:val="0"/>
        <w:snapToGrid w:val="0"/>
        <w:spacing w:line="360" w:lineRule="auto"/>
        <w:jc w:val="center"/>
        <w:rPr>
          <w:rFonts w:ascii="宋体" w:hAnsi="宋体" w:eastAsia="宋体"/>
          <w:b/>
          <w:snapToGrid w:val="0"/>
          <w:sz w:val="28"/>
          <w:szCs w:val="28"/>
        </w:rPr>
      </w:pPr>
    </w:p>
    <w:p>
      <w:pPr>
        <w:adjustRightInd w:val="0"/>
        <w:snapToGrid w:val="0"/>
        <w:spacing w:line="360" w:lineRule="auto"/>
        <w:jc w:val="center"/>
        <w:rPr>
          <w:rFonts w:ascii="宋体" w:hAnsi="宋体" w:eastAsia="宋体"/>
          <w:b/>
          <w:snapToGrid w:val="0"/>
          <w:sz w:val="28"/>
          <w:szCs w:val="28"/>
        </w:rPr>
      </w:pPr>
    </w:p>
    <w:p>
      <w:pPr>
        <w:adjustRightInd w:val="0"/>
        <w:snapToGrid w:val="0"/>
        <w:spacing w:line="360" w:lineRule="auto"/>
        <w:jc w:val="center"/>
        <w:rPr>
          <w:rFonts w:ascii="宋体" w:hAnsi="宋体" w:eastAsia="宋体"/>
          <w:b/>
          <w:snapToGrid w:val="0"/>
          <w:sz w:val="72"/>
          <w:szCs w:val="72"/>
        </w:rPr>
      </w:pPr>
      <w:r>
        <w:rPr>
          <w:rFonts w:hint="eastAsia" w:ascii="宋体" w:hAnsi="宋体" w:eastAsia="宋体"/>
          <w:b/>
          <w:bCs/>
          <w:sz w:val="72"/>
          <w:szCs w:val="72"/>
        </w:rPr>
        <w:t>招</w:t>
      </w:r>
      <w:r>
        <w:rPr>
          <w:rFonts w:ascii="宋体" w:hAnsi="宋体" w:eastAsia="宋体"/>
          <w:b/>
          <w:bCs/>
          <w:sz w:val="72"/>
          <w:szCs w:val="72"/>
        </w:rPr>
        <w:t xml:space="preserve"> </w:t>
      </w:r>
      <w:r>
        <w:rPr>
          <w:rFonts w:hint="eastAsia" w:ascii="宋体" w:hAnsi="宋体" w:eastAsia="宋体"/>
          <w:b/>
          <w:bCs/>
          <w:sz w:val="72"/>
          <w:szCs w:val="72"/>
        </w:rPr>
        <w:t>标</w:t>
      </w:r>
      <w:r>
        <w:rPr>
          <w:rFonts w:ascii="宋体" w:hAnsi="宋体" w:eastAsia="宋体"/>
          <w:b/>
          <w:bCs/>
          <w:sz w:val="72"/>
          <w:szCs w:val="72"/>
        </w:rPr>
        <w:t xml:space="preserve"> </w:t>
      </w:r>
      <w:r>
        <w:rPr>
          <w:rFonts w:hint="eastAsia" w:ascii="宋体" w:hAnsi="宋体" w:eastAsia="宋体"/>
          <w:b/>
          <w:bCs/>
          <w:sz w:val="72"/>
          <w:szCs w:val="72"/>
        </w:rPr>
        <w:t>文</w:t>
      </w:r>
      <w:r>
        <w:rPr>
          <w:rFonts w:ascii="宋体" w:hAnsi="宋体" w:eastAsia="宋体"/>
          <w:b/>
          <w:bCs/>
          <w:sz w:val="72"/>
          <w:szCs w:val="72"/>
        </w:rPr>
        <w:t xml:space="preserve"> </w:t>
      </w:r>
      <w:r>
        <w:rPr>
          <w:rFonts w:hint="eastAsia" w:ascii="宋体" w:hAnsi="宋体" w:eastAsia="宋体"/>
          <w:b/>
          <w:bCs/>
          <w:sz w:val="72"/>
          <w:szCs w:val="72"/>
        </w:rPr>
        <w:t>件</w:t>
      </w:r>
    </w:p>
    <w:p>
      <w:pPr>
        <w:adjustRightInd w:val="0"/>
        <w:snapToGrid w:val="0"/>
        <w:spacing w:line="360" w:lineRule="auto"/>
        <w:rPr>
          <w:rFonts w:ascii="宋体" w:hAnsi="宋体" w:eastAsia="宋体"/>
          <w:snapToGrid w:val="0"/>
          <w:sz w:val="30"/>
        </w:rPr>
      </w:pPr>
    </w:p>
    <w:p>
      <w:pPr>
        <w:adjustRightInd w:val="0"/>
        <w:snapToGrid w:val="0"/>
        <w:spacing w:line="360" w:lineRule="auto"/>
        <w:rPr>
          <w:rFonts w:ascii="宋体" w:hAnsi="宋体" w:eastAsia="宋体"/>
          <w:b/>
          <w:snapToGrid w:val="0"/>
          <w:sz w:val="48"/>
          <w:szCs w:val="48"/>
        </w:rPr>
      </w:pPr>
    </w:p>
    <w:p>
      <w:pPr>
        <w:adjustRightInd w:val="0"/>
        <w:snapToGrid w:val="0"/>
        <w:spacing w:line="360" w:lineRule="auto"/>
        <w:rPr>
          <w:rFonts w:ascii="宋体" w:hAnsi="宋体" w:eastAsia="宋体"/>
          <w:b/>
          <w:snapToGrid w:val="0"/>
          <w:sz w:val="48"/>
          <w:szCs w:val="48"/>
        </w:rPr>
      </w:pPr>
    </w:p>
    <w:p>
      <w:pPr>
        <w:adjustRightInd w:val="0"/>
        <w:snapToGrid w:val="0"/>
        <w:spacing w:line="360" w:lineRule="auto"/>
        <w:rPr>
          <w:rFonts w:ascii="宋体" w:hAnsi="宋体" w:eastAsia="宋体"/>
          <w:b/>
          <w:snapToGrid w:val="0"/>
          <w:sz w:val="48"/>
          <w:szCs w:val="48"/>
        </w:rPr>
      </w:pPr>
    </w:p>
    <w:p>
      <w:pPr>
        <w:pStyle w:val="37"/>
        <w:keepNext w:val="0"/>
        <w:keepLines w:val="0"/>
        <w:widowControl/>
        <w:suppressLineNumbers w:val="0"/>
        <w:spacing w:before="300" w:beforeAutospacing="0" w:after="166" w:afterAutospacing="0" w:line="357" w:lineRule="atLeast"/>
        <w:ind w:right="660"/>
        <w:jc w:val="both"/>
      </w:pPr>
    </w:p>
    <w:p>
      <w:pPr>
        <w:jc w:val="center"/>
        <w:rPr>
          <w:rFonts w:hint="eastAsia" w:ascii="宋体" w:hAnsi="宋体" w:eastAsia="宋体" w:cs="宋体"/>
          <w:bCs/>
          <w:color w:val="000000"/>
          <w:kern w:val="36"/>
          <w:sz w:val="36"/>
          <w:szCs w:val="36"/>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kern w:val="36"/>
          <w:sz w:val="36"/>
          <w:szCs w:val="36"/>
          <w:highlight w:val="none"/>
        </w:rPr>
      </w:pPr>
      <w:r>
        <w:rPr>
          <w:rFonts w:hint="eastAsia" w:ascii="宋体" w:hAnsi="宋体" w:eastAsia="宋体" w:cs="宋体"/>
          <w:b/>
          <w:bCs w:val="0"/>
          <w:color w:val="000000"/>
          <w:kern w:val="36"/>
          <w:sz w:val="36"/>
          <w:szCs w:val="36"/>
          <w:highlight w:val="none"/>
          <w:lang w:eastAsia="zh-CN"/>
        </w:rPr>
        <w:t>南京大学</w:t>
      </w:r>
      <w:r>
        <w:rPr>
          <w:rFonts w:hint="eastAsia" w:ascii="宋体" w:hAnsi="宋体" w:eastAsia="宋体" w:cs="宋体"/>
          <w:b/>
          <w:bCs w:val="0"/>
          <w:color w:val="000000"/>
          <w:kern w:val="36"/>
          <w:sz w:val="36"/>
          <w:szCs w:val="36"/>
          <w:highlight w:val="none"/>
        </w:rPr>
        <w:fldChar w:fldCharType="begin"/>
      </w:r>
      <w:r>
        <w:rPr>
          <w:rFonts w:hint="eastAsia" w:ascii="宋体" w:hAnsi="宋体" w:eastAsia="宋体" w:cs="宋体"/>
          <w:b/>
          <w:bCs w:val="0"/>
          <w:color w:val="000000"/>
          <w:kern w:val="36"/>
          <w:sz w:val="36"/>
          <w:szCs w:val="36"/>
          <w:highlight w:val="none"/>
        </w:rPr>
        <w:instrText xml:space="preserve"> HYPERLINK "http://cs.nju.edu.cn/" \t "https://www.nju.edu.cn/3662/_blank" </w:instrText>
      </w:r>
      <w:r>
        <w:rPr>
          <w:rFonts w:hint="eastAsia" w:ascii="宋体" w:hAnsi="宋体" w:eastAsia="宋体" w:cs="宋体"/>
          <w:b/>
          <w:bCs w:val="0"/>
          <w:color w:val="000000"/>
          <w:kern w:val="36"/>
          <w:sz w:val="36"/>
          <w:szCs w:val="36"/>
          <w:highlight w:val="none"/>
        </w:rPr>
        <w:fldChar w:fldCharType="separate"/>
      </w:r>
      <w:r>
        <w:rPr>
          <w:rFonts w:hint="eastAsia" w:ascii="宋体" w:hAnsi="宋体" w:eastAsia="宋体" w:cs="宋体"/>
          <w:b/>
          <w:bCs w:val="0"/>
          <w:color w:val="000000"/>
          <w:kern w:val="36"/>
          <w:sz w:val="36"/>
          <w:szCs w:val="36"/>
          <w:highlight w:val="none"/>
        </w:rPr>
        <w:t>计算机科学与技术系</w:t>
      </w:r>
      <w:r>
        <w:rPr>
          <w:rFonts w:hint="eastAsia" w:ascii="宋体" w:hAnsi="宋体" w:eastAsia="宋体" w:cs="宋体"/>
          <w:b/>
          <w:bCs w:val="0"/>
          <w:color w:val="000000"/>
          <w:kern w:val="36"/>
          <w:sz w:val="36"/>
          <w:szCs w:val="36"/>
          <w:highlight w:val="none"/>
        </w:rPr>
        <w:fldChar w:fldCharType="end"/>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kern w:val="36"/>
          <w:sz w:val="36"/>
          <w:szCs w:val="36"/>
          <w:highlight w:val="none"/>
        </w:rPr>
      </w:pPr>
      <w:r>
        <w:rPr>
          <w:rFonts w:hint="eastAsia" w:ascii="宋体" w:hAnsi="宋体" w:eastAsia="宋体" w:cs="宋体"/>
          <w:b/>
          <w:bCs w:val="0"/>
          <w:color w:val="000000"/>
          <w:kern w:val="36"/>
          <w:sz w:val="36"/>
          <w:szCs w:val="36"/>
          <w:highlight w:val="none"/>
        </w:rPr>
        <w:t>南京大学基本建设处</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kern w:val="36"/>
          <w:sz w:val="36"/>
          <w:szCs w:val="36"/>
          <w:highlight w:val="none"/>
        </w:rPr>
      </w:pPr>
      <w:r>
        <w:rPr>
          <w:rFonts w:hint="eastAsia" w:ascii="宋体" w:hAnsi="宋体" w:eastAsia="宋体" w:cs="宋体"/>
          <w:b/>
          <w:bCs w:val="0"/>
          <w:color w:val="000000"/>
          <w:kern w:val="36"/>
          <w:sz w:val="36"/>
          <w:szCs w:val="36"/>
          <w:highlight w:val="none"/>
        </w:rPr>
        <w:t>2019年7月25日</w:t>
      </w:r>
    </w:p>
    <w:p>
      <w:pPr>
        <w:adjustRightInd w:val="0"/>
        <w:snapToGrid w:val="0"/>
        <w:spacing w:line="360" w:lineRule="auto"/>
        <w:jc w:val="center"/>
        <w:rPr>
          <w:rFonts w:ascii="宋体" w:hAnsi="宋体" w:eastAsia="宋体"/>
          <w:b/>
          <w:snapToGrid w:val="0"/>
          <w:sz w:val="48"/>
          <w:szCs w:val="48"/>
        </w:rPr>
      </w:pPr>
      <w:r>
        <w:rPr>
          <w:rFonts w:ascii="宋体" w:hAnsi="宋体" w:eastAsia="宋体"/>
          <w:b/>
          <w:snapToGrid w:val="0"/>
          <w:sz w:val="32"/>
          <w:szCs w:val="32"/>
        </w:rPr>
        <w:br w:type="page"/>
      </w:r>
      <w:r>
        <w:rPr>
          <w:rFonts w:hint="eastAsia" w:ascii="宋体" w:hAnsi="宋体" w:eastAsia="宋体"/>
          <w:b/>
          <w:snapToGrid w:val="0"/>
          <w:sz w:val="48"/>
          <w:szCs w:val="48"/>
        </w:rPr>
        <w:t>目</w:t>
      </w:r>
      <w:r>
        <w:rPr>
          <w:rFonts w:ascii="宋体" w:hAnsi="宋体" w:eastAsia="宋体"/>
          <w:b/>
          <w:snapToGrid w:val="0"/>
          <w:sz w:val="48"/>
          <w:szCs w:val="48"/>
        </w:rPr>
        <w:t xml:space="preserve">  </w:t>
      </w:r>
      <w:r>
        <w:rPr>
          <w:rFonts w:hint="eastAsia" w:ascii="宋体" w:hAnsi="宋体" w:eastAsia="宋体"/>
          <w:b/>
          <w:snapToGrid w:val="0"/>
          <w:sz w:val="48"/>
          <w:szCs w:val="48"/>
        </w:rPr>
        <w:t>录</w:t>
      </w:r>
    </w:p>
    <w:p>
      <w:pPr>
        <w:pStyle w:val="28"/>
        <w:tabs>
          <w:tab w:val="right" w:leader="dot" w:pos="9071"/>
        </w:tabs>
      </w:pPr>
      <w:r>
        <w:rPr>
          <w:rStyle w:val="46"/>
          <w:rFonts w:ascii="宋体" w:hAnsi="宋体" w:eastAsia="宋体"/>
          <w:bCs/>
          <w:snapToGrid w:val="0"/>
          <w:color w:val="auto"/>
          <w:sz w:val="30"/>
          <w:szCs w:val="30"/>
          <w:u w:val="none"/>
        </w:rPr>
        <w:fldChar w:fldCharType="begin"/>
      </w:r>
      <w:r>
        <w:rPr>
          <w:rStyle w:val="46"/>
          <w:rFonts w:ascii="宋体" w:hAnsi="宋体" w:eastAsia="宋体"/>
          <w:bCs/>
          <w:snapToGrid w:val="0"/>
          <w:color w:val="auto"/>
          <w:sz w:val="30"/>
          <w:szCs w:val="30"/>
          <w:u w:val="none"/>
        </w:rPr>
        <w:instrText xml:space="preserve"> TOC \o "1-3" \h \z \u </w:instrText>
      </w:r>
      <w:r>
        <w:rPr>
          <w:rStyle w:val="46"/>
          <w:rFonts w:ascii="宋体" w:hAnsi="宋体" w:eastAsia="宋体"/>
          <w:bCs/>
          <w:snapToGrid w:val="0"/>
          <w:color w:val="auto"/>
          <w:sz w:val="30"/>
          <w:szCs w:val="30"/>
          <w:u w:val="none"/>
        </w:rPr>
        <w:fldChar w:fldCharType="separate"/>
      </w: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_Toc30830 </w:instrText>
      </w:r>
      <w:r>
        <w:rPr>
          <w:rFonts w:ascii="宋体" w:hAnsi="宋体" w:eastAsia="宋体"/>
          <w:bCs/>
          <w:snapToGrid w:val="0"/>
          <w:szCs w:val="30"/>
        </w:rPr>
        <w:fldChar w:fldCharType="separate"/>
      </w:r>
      <w:r>
        <w:rPr>
          <w:rFonts w:hint="eastAsia" w:ascii="宋体" w:hAnsi="宋体" w:eastAsia="宋体"/>
          <w:snapToGrid w:val="0"/>
        </w:rPr>
        <w:t>第一章</w:t>
      </w:r>
      <w:r>
        <w:rPr>
          <w:rFonts w:ascii="宋体" w:hAnsi="宋体" w:eastAsia="宋体"/>
          <w:snapToGrid w:val="0"/>
        </w:rPr>
        <w:t xml:space="preserve"> </w:t>
      </w:r>
      <w:r>
        <w:rPr>
          <w:rFonts w:hint="eastAsia" w:ascii="宋体" w:hAnsi="宋体" w:eastAsia="宋体"/>
          <w:snapToGrid w:val="0"/>
        </w:rPr>
        <w:t>投标须知</w:t>
      </w:r>
      <w:r>
        <w:tab/>
      </w:r>
      <w:r>
        <w:fldChar w:fldCharType="begin"/>
      </w:r>
      <w:r>
        <w:instrText xml:space="preserve"> PAGEREF _Toc30830 </w:instrText>
      </w:r>
      <w:r>
        <w:fldChar w:fldCharType="separate"/>
      </w:r>
      <w:r>
        <w:t>3</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_Toc17585 </w:instrText>
      </w:r>
      <w:r>
        <w:rPr>
          <w:rFonts w:ascii="宋体" w:hAnsi="宋体" w:eastAsia="宋体"/>
          <w:bCs/>
          <w:snapToGrid w:val="0"/>
          <w:szCs w:val="30"/>
        </w:rPr>
        <w:fldChar w:fldCharType="separate"/>
      </w:r>
      <w:r>
        <w:rPr>
          <w:rFonts w:hint="eastAsia" w:ascii="宋体" w:hAnsi="宋体" w:eastAsia="宋体"/>
          <w:szCs w:val="28"/>
        </w:rPr>
        <w:t>前</w:t>
      </w:r>
      <w:r>
        <w:rPr>
          <w:rFonts w:ascii="宋体" w:hAnsi="宋体" w:eastAsia="宋体"/>
          <w:szCs w:val="28"/>
        </w:rPr>
        <w:t xml:space="preserve"> </w:t>
      </w:r>
      <w:r>
        <w:rPr>
          <w:rFonts w:hint="eastAsia" w:ascii="宋体" w:hAnsi="宋体" w:eastAsia="宋体"/>
          <w:szCs w:val="28"/>
        </w:rPr>
        <w:t>附</w:t>
      </w:r>
      <w:r>
        <w:rPr>
          <w:rFonts w:ascii="宋体" w:hAnsi="宋体" w:eastAsia="宋体"/>
          <w:szCs w:val="28"/>
        </w:rPr>
        <w:t xml:space="preserve"> </w:t>
      </w:r>
      <w:r>
        <w:rPr>
          <w:rFonts w:hint="eastAsia" w:ascii="宋体" w:hAnsi="宋体" w:eastAsia="宋体"/>
          <w:szCs w:val="28"/>
        </w:rPr>
        <w:t>表</w:t>
      </w:r>
      <w:r>
        <w:tab/>
      </w:r>
      <w:r>
        <w:fldChar w:fldCharType="begin"/>
      </w:r>
      <w:r>
        <w:instrText xml:space="preserve"> PAGEREF _Toc17585 </w:instrText>
      </w:r>
      <w:r>
        <w:fldChar w:fldCharType="separate"/>
      </w:r>
      <w:r>
        <w:t>3</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_Toc4624 </w:instrText>
      </w:r>
      <w:r>
        <w:rPr>
          <w:rFonts w:ascii="宋体" w:hAnsi="宋体" w:eastAsia="宋体"/>
          <w:bCs/>
          <w:snapToGrid w:val="0"/>
          <w:szCs w:val="30"/>
        </w:rPr>
        <w:fldChar w:fldCharType="separate"/>
      </w:r>
      <w:r>
        <w:rPr>
          <w:rFonts w:hint="eastAsia" w:ascii="宋体" w:hAnsi="宋体" w:eastAsia="宋体"/>
          <w:snapToGrid w:val="0"/>
          <w:szCs w:val="28"/>
        </w:rPr>
        <w:t>一、总</w:t>
      </w:r>
      <w:r>
        <w:rPr>
          <w:rFonts w:ascii="宋体" w:hAnsi="宋体" w:eastAsia="宋体"/>
          <w:snapToGrid w:val="0"/>
          <w:szCs w:val="28"/>
        </w:rPr>
        <w:t xml:space="preserve">    </w:t>
      </w:r>
      <w:r>
        <w:rPr>
          <w:rFonts w:hint="eastAsia" w:ascii="宋体" w:hAnsi="宋体" w:eastAsia="宋体"/>
          <w:snapToGrid w:val="0"/>
          <w:szCs w:val="28"/>
        </w:rPr>
        <w:t>则</w:t>
      </w:r>
      <w:r>
        <w:tab/>
      </w:r>
      <w:r>
        <w:fldChar w:fldCharType="begin"/>
      </w:r>
      <w:r>
        <w:instrText xml:space="preserve"> PAGEREF _Toc4624 </w:instrText>
      </w:r>
      <w:r>
        <w:fldChar w:fldCharType="separate"/>
      </w:r>
      <w:r>
        <w:t>4</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_Toc4462 </w:instrText>
      </w:r>
      <w:r>
        <w:rPr>
          <w:rFonts w:ascii="宋体" w:hAnsi="宋体" w:eastAsia="宋体"/>
          <w:bCs/>
          <w:snapToGrid w:val="0"/>
          <w:szCs w:val="30"/>
        </w:rPr>
        <w:fldChar w:fldCharType="separate"/>
      </w:r>
      <w:r>
        <w:rPr>
          <w:rFonts w:hint="eastAsia" w:ascii="宋体" w:hAnsi="宋体" w:eastAsia="宋体"/>
          <w:snapToGrid w:val="0"/>
          <w:szCs w:val="28"/>
        </w:rPr>
        <w:t>二、招标文件</w:t>
      </w:r>
      <w:r>
        <w:tab/>
      </w:r>
      <w:r>
        <w:fldChar w:fldCharType="begin"/>
      </w:r>
      <w:r>
        <w:instrText xml:space="preserve"> PAGEREF _Toc4462 </w:instrText>
      </w:r>
      <w:r>
        <w:fldChar w:fldCharType="separate"/>
      </w:r>
      <w:r>
        <w:t>6</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_Toc8976 </w:instrText>
      </w:r>
      <w:r>
        <w:rPr>
          <w:rFonts w:ascii="宋体" w:hAnsi="宋体" w:eastAsia="宋体"/>
          <w:bCs/>
          <w:snapToGrid w:val="0"/>
          <w:szCs w:val="30"/>
        </w:rPr>
        <w:fldChar w:fldCharType="separate"/>
      </w:r>
      <w:r>
        <w:rPr>
          <w:rFonts w:hint="eastAsia" w:ascii="宋体" w:hAnsi="宋体" w:eastAsia="宋体"/>
          <w:snapToGrid w:val="0"/>
          <w:szCs w:val="28"/>
        </w:rPr>
        <w:t>三、投标报价</w:t>
      </w:r>
      <w:r>
        <w:tab/>
      </w:r>
      <w:r>
        <w:fldChar w:fldCharType="begin"/>
      </w:r>
      <w:r>
        <w:instrText xml:space="preserve"> PAGEREF _Toc8976 </w:instrText>
      </w:r>
      <w:r>
        <w:fldChar w:fldCharType="separate"/>
      </w:r>
      <w:r>
        <w:t>7</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_Toc11364 </w:instrText>
      </w:r>
      <w:r>
        <w:rPr>
          <w:rFonts w:ascii="宋体" w:hAnsi="宋体" w:eastAsia="宋体"/>
          <w:bCs/>
          <w:snapToGrid w:val="0"/>
          <w:szCs w:val="30"/>
        </w:rPr>
        <w:fldChar w:fldCharType="separate"/>
      </w:r>
      <w:r>
        <w:rPr>
          <w:rFonts w:hint="eastAsia" w:ascii="宋体" w:hAnsi="宋体" w:eastAsia="宋体"/>
          <w:snapToGrid w:val="0"/>
          <w:szCs w:val="28"/>
        </w:rPr>
        <w:t>四、投标文件的编制</w:t>
      </w:r>
      <w:r>
        <w:tab/>
      </w:r>
      <w:r>
        <w:fldChar w:fldCharType="begin"/>
      </w:r>
      <w:r>
        <w:instrText xml:space="preserve"> PAGEREF _Toc11364 </w:instrText>
      </w:r>
      <w:r>
        <w:fldChar w:fldCharType="separate"/>
      </w:r>
      <w:r>
        <w:t>9</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_Toc19818 </w:instrText>
      </w:r>
      <w:r>
        <w:rPr>
          <w:rFonts w:ascii="宋体" w:hAnsi="宋体" w:eastAsia="宋体"/>
          <w:bCs/>
          <w:snapToGrid w:val="0"/>
          <w:szCs w:val="30"/>
        </w:rPr>
        <w:fldChar w:fldCharType="separate"/>
      </w:r>
      <w:r>
        <w:rPr>
          <w:rFonts w:hint="eastAsia" w:ascii="宋体" w:hAnsi="宋体" w:eastAsia="宋体"/>
          <w:snapToGrid w:val="0"/>
          <w:szCs w:val="28"/>
        </w:rPr>
        <w:t>五、投标文件的递交</w:t>
      </w:r>
      <w:r>
        <w:tab/>
      </w:r>
      <w:r>
        <w:fldChar w:fldCharType="begin"/>
      </w:r>
      <w:r>
        <w:instrText xml:space="preserve"> PAGEREF _Toc19818 </w:instrText>
      </w:r>
      <w:r>
        <w:fldChar w:fldCharType="separate"/>
      </w:r>
      <w:r>
        <w:t>10</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_Toc3141 </w:instrText>
      </w:r>
      <w:r>
        <w:rPr>
          <w:rFonts w:ascii="宋体" w:hAnsi="宋体" w:eastAsia="宋体"/>
          <w:bCs/>
          <w:snapToGrid w:val="0"/>
          <w:szCs w:val="30"/>
        </w:rPr>
        <w:fldChar w:fldCharType="separate"/>
      </w:r>
      <w:r>
        <w:rPr>
          <w:rFonts w:hint="eastAsia" w:ascii="宋体" w:hAnsi="宋体" w:eastAsia="宋体"/>
          <w:snapToGrid w:val="0"/>
          <w:szCs w:val="28"/>
        </w:rPr>
        <w:t>六、开</w:t>
      </w:r>
      <w:r>
        <w:rPr>
          <w:rFonts w:ascii="宋体" w:hAnsi="宋体" w:eastAsia="宋体"/>
          <w:snapToGrid w:val="0"/>
          <w:szCs w:val="28"/>
        </w:rPr>
        <w:t xml:space="preserve">    </w:t>
      </w:r>
      <w:r>
        <w:rPr>
          <w:rFonts w:hint="eastAsia" w:ascii="宋体" w:hAnsi="宋体" w:eastAsia="宋体"/>
          <w:snapToGrid w:val="0"/>
          <w:szCs w:val="28"/>
        </w:rPr>
        <w:t>标</w:t>
      </w:r>
      <w:r>
        <w:tab/>
      </w:r>
      <w:r>
        <w:fldChar w:fldCharType="begin"/>
      </w:r>
      <w:r>
        <w:instrText xml:space="preserve"> PAGEREF _Toc3141 </w:instrText>
      </w:r>
      <w:r>
        <w:fldChar w:fldCharType="separate"/>
      </w:r>
      <w:r>
        <w:t>11</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_Toc7969 </w:instrText>
      </w:r>
      <w:r>
        <w:rPr>
          <w:rFonts w:ascii="宋体" w:hAnsi="宋体" w:eastAsia="宋体"/>
          <w:bCs/>
          <w:snapToGrid w:val="0"/>
          <w:szCs w:val="30"/>
        </w:rPr>
        <w:fldChar w:fldCharType="separate"/>
      </w:r>
      <w:r>
        <w:rPr>
          <w:rFonts w:hint="eastAsia" w:ascii="宋体" w:hAnsi="宋体" w:eastAsia="宋体"/>
          <w:snapToGrid w:val="0"/>
          <w:szCs w:val="28"/>
        </w:rPr>
        <w:t>七、评</w:t>
      </w:r>
      <w:r>
        <w:rPr>
          <w:rFonts w:ascii="宋体" w:hAnsi="宋体" w:eastAsia="宋体"/>
          <w:snapToGrid w:val="0"/>
          <w:szCs w:val="28"/>
        </w:rPr>
        <w:t xml:space="preserve">    </w:t>
      </w:r>
      <w:r>
        <w:rPr>
          <w:rFonts w:hint="eastAsia" w:ascii="宋体" w:hAnsi="宋体" w:eastAsia="宋体"/>
          <w:snapToGrid w:val="0"/>
          <w:szCs w:val="28"/>
        </w:rPr>
        <w:t>标</w:t>
      </w:r>
      <w:r>
        <w:tab/>
      </w:r>
      <w:r>
        <w:fldChar w:fldCharType="begin"/>
      </w:r>
      <w:r>
        <w:instrText xml:space="preserve"> PAGEREF _Toc7969 </w:instrText>
      </w:r>
      <w:r>
        <w:fldChar w:fldCharType="separate"/>
      </w:r>
      <w:r>
        <w:t>12</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_Toc6323 </w:instrText>
      </w:r>
      <w:r>
        <w:rPr>
          <w:rFonts w:ascii="宋体" w:hAnsi="宋体" w:eastAsia="宋体"/>
          <w:bCs/>
          <w:snapToGrid w:val="0"/>
          <w:szCs w:val="30"/>
        </w:rPr>
        <w:fldChar w:fldCharType="separate"/>
      </w:r>
      <w:r>
        <w:rPr>
          <w:rFonts w:hint="eastAsia" w:ascii="宋体" w:hAnsi="宋体" w:eastAsia="宋体"/>
          <w:snapToGrid w:val="0"/>
          <w:szCs w:val="28"/>
        </w:rPr>
        <w:t>八、授予合同</w:t>
      </w:r>
      <w:r>
        <w:tab/>
      </w:r>
      <w:r>
        <w:fldChar w:fldCharType="begin"/>
      </w:r>
      <w:r>
        <w:instrText xml:space="preserve"> PAGEREF _Toc6323 </w:instrText>
      </w:r>
      <w:r>
        <w:fldChar w:fldCharType="separate"/>
      </w:r>
      <w:r>
        <w:t>14</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_Toc29750 </w:instrText>
      </w:r>
      <w:r>
        <w:rPr>
          <w:rFonts w:ascii="宋体" w:hAnsi="宋体" w:eastAsia="宋体"/>
          <w:bCs/>
          <w:snapToGrid w:val="0"/>
          <w:szCs w:val="30"/>
        </w:rPr>
        <w:fldChar w:fldCharType="separate"/>
      </w:r>
      <w:r>
        <w:rPr>
          <w:rFonts w:hint="eastAsia" w:ascii="宋体" w:hAnsi="宋体" w:eastAsia="宋体"/>
          <w:szCs w:val="36"/>
        </w:rPr>
        <w:t>附件：评标办法（综合评估法）</w:t>
      </w:r>
      <w:r>
        <w:tab/>
      </w:r>
      <w:r>
        <w:fldChar w:fldCharType="begin"/>
      </w:r>
      <w:r>
        <w:instrText xml:space="preserve"> PAGEREF _Toc29750 </w:instrText>
      </w:r>
      <w:r>
        <w:fldChar w:fldCharType="separate"/>
      </w:r>
      <w:r>
        <w:t>16</w:t>
      </w:r>
      <w:r>
        <w:fldChar w:fldCharType="end"/>
      </w:r>
      <w:r>
        <w:rPr>
          <w:rFonts w:ascii="宋体" w:hAnsi="宋体" w:eastAsia="宋体"/>
          <w:bCs/>
          <w:snapToGrid w:val="0"/>
          <w:color w:val="auto"/>
          <w:szCs w:val="30"/>
          <w:u w:val="none"/>
        </w:rPr>
        <w:fldChar w:fldCharType="end"/>
      </w:r>
    </w:p>
    <w:p>
      <w:pPr>
        <w:pStyle w:val="28"/>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_Toc11509 </w:instrText>
      </w:r>
      <w:r>
        <w:rPr>
          <w:rFonts w:ascii="宋体" w:hAnsi="宋体" w:eastAsia="宋体"/>
          <w:bCs/>
          <w:snapToGrid w:val="0"/>
          <w:szCs w:val="30"/>
        </w:rPr>
        <w:fldChar w:fldCharType="separate"/>
      </w:r>
      <w:r>
        <w:rPr>
          <w:rFonts w:hint="eastAsia" w:ascii="宋体" w:hAnsi="宋体" w:eastAsia="宋体"/>
          <w:snapToGrid w:val="0"/>
        </w:rPr>
        <w:t>第二章</w:t>
      </w:r>
      <w:r>
        <w:rPr>
          <w:rFonts w:ascii="宋体" w:hAnsi="宋体" w:eastAsia="宋体"/>
          <w:snapToGrid w:val="0"/>
        </w:rPr>
        <w:t xml:space="preserve"> </w:t>
      </w:r>
      <w:r>
        <w:rPr>
          <w:rFonts w:hint="eastAsia" w:ascii="宋体" w:hAnsi="宋体" w:eastAsia="宋体"/>
          <w:snapToGrid w:val="0"/>
        </w:rPr>
        <w:t>合同</w:t>
      </w:r>
      <w:r>
        <w:tab/>
      </w:r>
      <w:r>
        <w:fldChar w:fldCharType="begin"/>
      </w:r>
      <w:r>
        <w:instrText xml:space="preserve"> PAGEREF _Toc11509 </w:instrText>
      </w:r>
      <w:r>
        <w:fldChar w:fldCharType="separate"/>
      </w:r>
      <w:r>
        <w:t>18</w:t>
      </w:r>
      <w:r>
        <w:fldChar w:fldCharType="end"/>
      </w:r>
      <w:r>
        <w:rPr>
          <w:rFonts w:ascii="宋体" w:hAnsi="宋体" w:eastAsia="宋体"/>
          <w:bCs/>
          <w:snapToGrid w:val="0"/>
          <w:color w:val="auto"/>
          <w:szCs w:val="30"/>
          <w:u w:val="none"/>
        </w:rPr>
        <w:fldChar w:fldCharType="end"/>
      </w:r>
    </w:p>
    <w:p>
      <w:pPr>
        <w:pStyle w:val="28"/>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_Toc29970 </w:instrText>
      </w:r>
      <w:r>
        <w:rPr>
          <w:rFonts w:ascii="宋体" w:hAnsi="宋体" w:eastAsia="宋体"/>
          <w:bCs/>
          <w:snapToGrid w:val="0"/>
          <w:szCs w:val="30"/>
        </w:rPr>
        <w:fldChar w:fldCharType="separate"/>
      </w:r>
      <w:r>
        <w:rPr>
          <w:rFonts w:hint="eastAsia" w:ascii="宋体" w:hAnsi="宋体" w:eastAsia="宋体"/>
          <w:snapToGrid w:val="0"/>
        </w:rPr>
        <w:t>第三章 技术规范</w:t>
      </w:r>
      <w:r>
        <w:tab/>
      </w:r>
      <w:r>
        <w:fldChar w:fldCharType="begin"/>
      </w:r>
      <w:r>
        <w:instrText xml:space="preserve"> PAGEREF _Toc29970 </w:instrText>
      </w:r>
      <w:r>
        <w:fldChar w:fldCharType="separate"/>
      </w:r>
      <w:r>
        <w:t>31</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_Toc2334 </w:instrText>
      </w:r>
      <w:r>
        <w:rPr>
          <w:rFonts w:ascii="宋体" w:hAnsi="宋体" w:eastAsia="宋体"/>
          <w:bCs/>
          <w:snapToGrid w:val="0"/>
          <w:szCs w:val="30"/>
        </w:rPr>
        <w:fldChar w:fldCharType="separate"/>
      </w:r>
      <w:r>
        <w:rPr>
          <w:rFonts w:hint="eastAsia" w:ascii="宋体" w:hAnsi="宋体" w:eastAsia="宋体"/>
          <w:snapToGrid w:val="0"/>
          <w:szCs w:val="28"/>
        </w:rPr>
        <w:t>一、 本工程采用的计价规范</w:t>
      </w:r>
      <w:r>
        <w:tab/>
      </w:r>
      <w:r>
        <w:fldChar w:fldCharType="begin"/>
      </w:r>
      <w:r>
        <w:instrText xml:space="preserve"> PAGEREF _Toc2334 </w:instrText>
      </w:r>
      <w:r>
        <w:fldChar w:fldCharType="separate"/>
      </w:r>
      <w:r>
        <w:t>31</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_Toc32132 </w:instrText>
      </w:r>
      <w:r>
        <w:rPr>
          <w:rFonts w:ascii="宋体" w:hAnsi="宋体" w:eastAsia="宋体"/>
          <w:bCs/>
          <w:snapToGrid w:val="0"/>
          <w:szCs w:val="30"/>
        </w:rPr>
        <w:fldChar w:fldCharType="separate"/>
      </w:r>
      <w:r>
        <w:rPr>
          <w:rFonts w:hint="eastAsia" w:ascii="宋体" w:hAnsi="宋体" w:eastAsia="宋体"/>
          <w:snapToGrid w:val="0"/>
          <w:szCs w:val="28"/>
        </w:rPr>
        <w:t>二、 本工程采用的技术规范</w:t>
      </w:r>
      <w:r>
        <w:tab/>
      </w:r>
      <w:r>
        <w:fldChar w:fldCharType="begin"/>
      </w:r>
      <w:r>
        <w:instrText xml:space="preserve"> PAGEREF _Toc32132 </w:instrText>
      </w:r>
      <w:r>
        <w:fldChar w:fldCharType="separate"/>
      </w:r>
      <w:r>
        <w:t>31</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_Toc28065 </w:instrText>
      </w:r>
      <w:r>
        <w:rPr>
          <w:rFonts w:ascii="宋体" w:hAnsi="宋体" w:eastAsia="宋体"/>
          <w:bCs/>
          <w:snapToGrid w:val="0"/>
          <w:szCs w:val="30"/>
        </w:rPr>
        <w:fldChar w:fldCharType="separate"/>
      </w:r>
      <w:r>
        <w:rPr>
          <w:rFonts w:hint="eastAsia" w:ascii="宋体" w:hAnsi="宋体" w:eastAsia="宋体"/>
          <w:snapToGrid w:val="0"/>
          <w:szCs w:val="28"/>
        </w:rPr>
        <w:t>三、 对施工工艺的特殊要求</w:t>
      </w:r>
      <w:r>
        <w:tab/>
      </w:r>
      <w:r>
        <w:fldChar w:fldCharType="begin"/>
      </w:r>
      <w:r>
        <w:instrText xml:space="preserve"> PAGEREF _Toc28065 </w:instrText>
      </w:r>
      <w:r>
        <w:fldChar w:fldCharType="separate"/>
      </w:r>
      <w:r>
        <w:t>31</w:t>
      </w:r>
      <w:r>
        <w:fldChar w:fldCharType="end"/>
      </w:r>
      <w:r>
        <w:rPr>
          <w:rFonts w:ascii="宋体" w:hAnsi="宋体" w:eastAsia="宋体"/>
          <w:bCs/>
          <w:snapToGrid w:val="0"/>
          <w:color w:val="auto"/>
          <w:szCs w:val="30"/>
          <w:u w:val="none"/>
        </w:rPr>
        <w:fldChar w:fldCharType="end"/>
      </w:r>
    </w:p>
    <w:p>
      <w:pPr>
        <w:pStyle w:val="28"/>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_Toc22669 </w:instrText>
      </w:r>
      <w:r>
        <w:rPr>
          <w:rFonts w:ascii="宋体" w:hAnsi="宋体" w:eastAsia="宋体"/>
          <w:bCs/>
          <w:snapToGrid w:val="0"/>
          <w:szCs w:val="30"/>
        </w:rPr>
        <w:fldChar w:fldCharType="separate"/>
      </w:r>
      <w:r>
        <w:rPr>
          <w:rFonts w:hint="eastAsia" w:ascii="宋体" w:hAnsi="宋体" w:eastAsia="宋体"/>
          <w:snapToGrid w:val="0"/>
        </w:rPr>
        <w:t>第四章 工程量清单（另附）</w:t>
      </w:r>
      <w:r>
        <w:tab/>
      </w:r>
      <w:r>
        <w:fldChar w:fldCharType="begin"/>
      </w:r>
      <w:r>
        <w:instrText xml:space="preserve"> PAGEREF _Toc22669 </w:instrText>
      </w:r>
      <w:r>
        <w:fldChar w:fldCharType="separate"/>
      </w:r>
      <w:r>
        <w:t>31</w:t>
      </w:r>
      <w:r>
        <w:fldChar w:fldCharType="end"/>
      </w:r>
      <w:r>
        <w:rPr>
          <w:rFonts w:ascii="宋体" w:hAnsi="宋体" w:eastAsia="宋体"/>
          <w:bCs/>
          <w:snapToGrid w:val="0"/>
          <w:color w:val="auto"/>
          <w:szCs w:val="30"/>
          <w:u w:val="none"/>
        </w:rPr>
        <w:fldChar w:fldCharType="end"/>
      </w:r>
    </w:p>
    <w:p>
      <w:pPr>
        <w:pStyle w:val="28"/>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_Toc15472 </w:instrText>
      </w:r>
      <w:r>
        <w:rPr>
          <w:rFonts w:ascii="宋体" w:hAnsi="宋体" w:eastAsia="宋体"/>
          <w:bCs/>
          <w:snapToGrid w:val="0"/>
          <w:szCs w:val="30"/>
        </w:rPr>
        <w:fldChar w:fldCharType="separate"/>
      </w:r>
      <w:r>
        <w:rPr>
          <w:rFonts w:hint="eastAsia" w:ascii="宋体" w:hAnsi="宋体" w:eastAsia="宋体"/>
          <w:snapToGrid w:val="0"/>
        </w:rPr>
        <w:t>第五章 图纸和技术资料（无）</w:t>
      </w:r>
      <w:r>
        <w:tab/>
      </w:r>
      <w:r>
        <w:fldChar w:fldCharType="begin"/>
      </w:r>
      <w:r>
        <w:instrText xml:space="preserve"> PAGEREF _Toc15472 </w:instrText>
      </w:r>
      <w:r>
        <w:fldChar w:fldCharType="separate"/>
      </w:r>
      <w:r>
        <w:t>31</w:t>
      </w:r>
      <w:r>
        <w:fldChar w:fldCharType="end"/>
      </w:r>
      <w:r>
        <w:rPr>
          <w:rFonts w:ascii="宋体" w:hAnsi="宋体" w:eastAsia="宋体"/>
          <w:bCs/>
          <w:snapToGrid w:val="0"/>
          <w:color w:val="auto"/>
          <w:szCs w:val="30"/>
          <w:u w:val="none"/>
        </w:rPr>
        <w:fldChar w:fldCharType="end"/>
      </w:r>
    </w:p>
    <w:p>
      <w:pPr>
        <w:pStyle w:val="28"/>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_Toc24450 </w:instrText>
      </w:r>
      <w:r>
        <w:rPr>
          <w:rFonts w:ascii="宋体" w:hAnsi="宋体" w:eastAsia="宋体"/>
          <w:bCs/>
          <w:snapToGrid w:val="0"/>
          <w:szCs w:val="30"/>
        </w:rPr>
        <w:fldChar w:fldCharType="separate"/>
      </w:r>
      <w:r>
        <w:rPr>
          <w:rFonts w:hint="eastAsia" w:ascii="宋体" w:hAnsi="宋体" w:eastAsia="宋体"/>
          <w:snapToGrid w:val="0"/>
        </w:rPr>
        <w:t>第六章 投标文件（格式）</w:t>
      </w:r>
      <w:r>
        <w:tab/>
      </w:r>
      <w:r>
        <w:fldChar w:fldCharType="begin"/>
      </w:r>
      <w:r>
        <w:instrText xml:space="preserve"> PAGEREF _Toc24450 </w:instrText>
      </w:r>
      <w:r>
        <w:fldChar w:fldCharType="separate"/>
      </w:r>
      <w:r>
        <w:t>32</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_Toc5134 </w:instrText>
      </w:r>
      <w:r>
        <w:rPr>
          <w:rFonts w:ascii="宋体" w:hAnsi="宋体" w:eastAsia="宋体"/>
          <w:bCs/>
          <w:snapToGrid w:val="0"/>
          <w:szCs w:val="30"/>
        </w:rPr>
        <w:fldChar w:fldCharType="separate"/>
      </w:r>
      <w:r>
        <w:rPr>
          <w:rFonts w:hint="eastAsia" w:ascii="宋体" w:hAnsi="宋体" w:eastAsia="宋体"/>
          <w:snapToGrid w:val="0"/>
        </w:rPr>
        <w:t>一、投标函</w:t>
      </w:r>
      <w:r>
        <w:tab/>
      </w:r>
      <w:r>
        <w:fldChar w:fldCharType="begin"/>
      </w:r>
      <w:r>
        <w:instrText xml:space="preserve"> PAGEREF _Toc5134 </w:instrText>
      </w:r>
      <w:r>
        <w:fldChar w:fldCharType="separate"/>
      </w:r>
      <w:r>
        <w:t>33</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_Toc16208 </w:instrText>
      </w:r>
      <w:r>
        <w:rPr>
          <w:rFonts w:ascii="宋体" w:hAnsi="宋体" w:eastAsia="宋体"/>
          <w:bCs/>
          <w:snapToGrid w:val="0"/>
          <w:szCs w:val="30"/>
        </w:rPr>
        <w:fldChar w:fldCharType="separate"/>
      </w:r>
      <w:r>
        <w:rPr>
          <w:rFonts w:hint="eastAsia" w:ascii="宋体" w:hAnsi="宋体" w:eastAsia="宋体"/>
          <w:snapToGrid w:val="0"/>
        </w:rPr>
        <w:t>二、法定代表人资格证明书</w:t>
      </w:r>
      <w:r>
        <w:tab/>
      </w:r>
      <w:r>
        <w:fldChar w:fldCharType="begin"/>
      </w:r>
      <w:r>
        <w:instrText xml:space="preserve"> PAGEREF _Toc16208 </w:instrText>
      </w:r>
      <w:r>
        <w:fldChar w:fldCharType="separate"/>
      </w:r>
      <w:r>
        <w:t>34</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_Toc15427 </w:instrText>
      </w:r>
      <w:r>
        <w:rPr>
          <w:rFonts w:ascii="宋体" w:hAnsi="宋体" w:eastAsia="宋体"/>
          <w:bCs/>
          <w:snapToGrid w:val="0"/>
          <w:szCs w:val="30"/>
        </w:rPr>
        <w:fldChar w:fldCharType="separate"/>
      </w:r>
      <w:r>
        <w:rPr>
          <w:rFonts w:hint="eastAsia" w:ascii="宋体" w:hAnsi="宋体" w:eastAsia="宋体"/>
          <w:snapToGrid w:val="0"/>
        </w:rPr>
        <w:t>三、授权委托书</w:t>
      </w:r>
      <w:r>
        <w:tab/>
      </w:r>
      <w:r>
        <w:fldChar w:fldCharType="begin"/>
      </w:r>
      <w:r>
        <w:instrText xml:space="preserve"> PAGEREF _Toc15427 </w:instrText>
      </w:r>
      <w:r>
        <w:fldChar w:fldCharType="separate"/>
      </w:r>
      <w:r>
        <w:t>34</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_Toc31983 </w:instrText>
      </w:r>
      <w:r>
        <w:rPr>
          <w:rFonts w:ascii="宋体" w:hAnsi="宋体" w:eastAsia="宋体"/>
          <w:bCs/>
          <w:snapToGrid w:val="0"/>
          <w:szCs w:val="30"/>
        </w:rPr>
        <w:fldChar w:fldCharType="separate"/>
      </w:r>
      <w:r>
        <w:rPr>
          <w:rFonts w:hint="eastAsia" w:ascii="宋体" w:hAnsi="宋体" w:eastAsia="宋体"/>
          <w:snapToGrid w:val="0"/>
        </w:rPr>
        <w:t>四、投标报价</w:t>
      </w:r>
      <w:r>
        <w:tab/>
      </w:r>
      <w:r>
        <w:fldChar w:fldCharType="begin"/>
      </w:r>
      <w:r>
        <w:instrText xml:space="preserve"> PAGEREF _Toc31983 </w:instrText>
      </w:r>
      <w:r>
        <w:fldChar w:fldCharType="separate"/>
      </w:r>
      <w:r>
        <w:t>35</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_Toc14669 </w:instrText>
      </w:r>
      <w:r>
        <w:rPr>
          <w:rFonts w:ascii="宋体" w:hAnsi="宋体" w:eastAsia="宋体"/>
          <w:bCs/>
          <w:snapToGrid w:val="0"/>
          <w:szCs w:val="30"/>
        </w:rPr>
        <w:fldChar w:fldCharType="separate"/>
      </w:r>
      <w:r>
        <w:rPr>
          <w:rFonts w:hint="eastAsia" w:ascii="宋体" w:hAnsi="宋体" w:eastAsia="宋体"/>
          <w:snapToGrid w:val="0"/>
        </w:rPr>
        <w:t>五、辅助资料表</w:t>
      </w:r>
      <w:r>
        <w:tab/>
      </w:r>
      <w:r>
        <w:fldChar w:fldCharType="begin"/>
      </w:r>
      <w:r>
        <w:instrText xml:space="preserve"> PAGEREF _Toc14669 </w:instrText>
      </w:r>
      <w:r>
        <w:fldChar w:fldCharType="separate"/>
      </w:r>
      <w:r>
        <w:t>35</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_Toc23100 </w:instrText>
      </w:r>
      <w:r>
        <w:rPr>
          <w:rFonts w:ascii="宋体" w:hAnsi="宋体" w:eastAsia="宋体"/>
          <w:bCs/>
          <w:snapToGrid w:val="0"/>
          <w:szCs w:val="30"/>
        </w:rPr>
        <w:fldChar w:fldCharType="separate"/>
      </w:r>
      <w:r>
        <w:rPr>
          <w:rFonts w:hint="eastAsia" w:ascii="宋体" w:hAnsi="宋体" w:eastAsia="宋体"/>
          <w:snapToGrid w:val="0"/>
        </w:rPr>
        <w:t>六、资格审查资料</w:t>
      </w:r>
      <w:r>
        <w:tab/>
      </w:r>
      <w:r>
        <w:fldChar w:fldCharType="begin"/>
      </w:r>
      <w:r>
        <w:instrText xml:space="preserve"> PAGEREF _Toc23100 </w:instrText>
      </w:r>
      <w:r>
        <w:fldChar w:fldCharType="separate"/>
      </w:r>
      <w:r>
        <w:t>36</w:t>
      </w:r>
      <w:r>
        <w:fldChar w:fldCharType="end"/>
      </w:r>
      <w:r>
        <w:rPr>
          <w:rFonts w:ascii="宋体" w:hAnsi="宋体" w:eastAsia="宋体"/>
          <w:bCs/>
          <w:snapToGrid w:val="0"/>
          <w:color w:val="auto"/>
          <w:szCs w:val="30"/>
          <w:u w:val="none"/>
        </w:rPr>
        <w:fldChar w:fldCharType="end"/>
      </w:r>
    </w:p>
    <w:p>
      <w:pPr>
        <w:pStyle w:val="20"/>
        <w:tabs>
          <w:tab w:val="right" w:leader="dot" w:pos="9071"/>
        </w:tabs>
      </w:pPr>
      <w:r>
        <w:rPr>
          <w:rFonts w:ascii="宋体" w:hAnsi="宋体" w:eastAsia="宋体"/>
          <w:bCs/>
          <w:snapToGrid w:val="0"/>
          <w:color w:val="auto"/>
          <w:szCs w:val="30"/>
          <w:u w:val="none"/>
        </w:rPr>
        <w:fldChar w:fldCharType="begin"/>
      </w:r>
      <w:r>
        <w:rPr>
          <w:rFonts w:ascii="宋体" w:hAnsi="宋体" w:eastAsia="宋体"/>
          <w:bCs/>
          <w:snapToGrid w:val="0"/>
          <w:szCs w:val="30"/>
        </w:rPr>
        <w:instrText xml:space="preserve"> HYPERLINK \l _Toc16838 </w:instrText>
      </w:r>
      <w:r>
        <w:rPr>
          <w:rFonts w:ascii="宋体" w:hAnsi="宋体" w:eastAsia="宋体"/>
          <w:bCs/>
          <w:snapToGrid w:val="0"/>
          <w:szCs w:val="30"/>
        </w:rPr>
        <w:fldChar w:fldCharType="separate"/>
      </w:r>
      <w:r>
        <w:rPr>
          <w:rFonts w:hint="eastAsia" w:ascii="宋体" w:hAnsi="宋体" w:eastAsia="宋体"/>
          <w:snapToGrid w:val="0"/>
        </w:rPr>
        <w:t>七、其他资料</w:t>
      </w:r>
      <w:r>
        <w:tab/>
      </w:r>
      <w:r>
        <w:fldChar w:fldCharType="begin"/>
      </w:r>
      <w:r>
        <w:instrText xml:space="preserve"> PAGEREF _Toc16838 </w:instrText>
      </w:r>
      <w:r>
        <w:fldChar w:fldCharType="separate"/>
      </w:r>
      <w:r>
        <w:t>36</w:t>
      </w:r>
      <w:r>
        <w:fldChar w:fldCharType="end"/>
      </w:r>
      <w:r>
        <w:rPr>
          <w:rFonts w:ascii="宋体" w:hAnsi="宋体" w:eastAsia="宋体"/>
          <w:bCs/>
          <w:snapToGrid w:val="0"/>
          <w:color w:val="auto"/>
          <w:szCs w:val="30"/>
          <w:u w:val="none"/>
        </w:rPr>
        <w:fldChar w:fldCharType="end"/>
      </w:r>
    </w:p>
    <w:p>
      <w:pPr>
        <w:pStyle w:val="38"/>
        <w:rPr>
          <w:rFonts w:ascii="宋体" w:hAnsi="宋体" w:eastAsia="宋体"/>
          <w:kern w:val="2"/>
          <w:sz w:val="24"/>
          <w:szCs w:val="24"/>
        </w:rPr>
      </w:pPr>
      <w:r>
        <w:rPr>
          <w:rFonts w:ascii="宋体" w:hAnsi="宋体" w:eastAsia="宋体"/>
          <w:bCs/>
          <w:snapToGrid w:val="0"/>
          <w:color w:val="auto"/>
          <w:szCs w:val="30"/>
          <w:u w:val="none"/>
        </w:rPr>
        <w:fldChar w:fldCharType="end"/>
      </w:r>
      <w:bookmarkStart w:id="0" w:name="_Toc329097718"/>
      <w:r>
        <w:rPr>
          <w:rFonts w:ascii="宋体" w:hAnsi="宋体" w:eastAsia="宋体"/>
          <w:kern w:val="2"/>
          <w:sz w:val="24"/>
          <w:szCs w:val="24"/>
        </w:rPr>
        <w:t xml:space="preserve"> </w:t>
      </w:r>
    </w:p>
    <w:p>
      <w:pPr>
        <w:widowControl w:val="0"/>
        <w:spacing w:line="360" w:lineRule="auto"/>
        <w:ind w:firstLine="480" w:firstLineChars="200"/>
        <w:jc w:val="both"/>
        <w:rPr>
          <w:rFonts w:ascii="宋体" w:hAnsi="宋体" w:eastAsia="宋体"/>
          <w:kern w:val="2"/>
          <w:sz w:val="24"/>
          <w:szCs w:val="24"/>
        </w:rPr>
      </w:pPr>
    </w:p>
    <w:p>
      <w:pPr>
        <w:widowControl w:val="0"/>
        <w:spacing w:line="360" w:lineRule="auto"/>
        <w:ind w:firstLine="480" w:firstLineChars="200"/>
        <w:jc w:val="both"/>
        <w:rPr>
          <w:rFonts w:ascii="宋体" w:hAnsi="宋体" w:eastAsia="宋体"/>
          <w:kern w:val="2"/>
          <w:sz w:val="24"/>
          <w:szCs w:val="24"/>
        </w:rPr>
      </w:pPr>
    </w:p>
    <w:p>
      <w:pPr>
        <w:widowControl w:val="0"/>
        <w:spacing w:line="360" w:lineRule="auto"/>
        <w:ind w:firstLine="480" w:firstLineChars="200"/>
        <w:jc w:val="both"/>
        <w:rPr>
          <w:rFonts w:ascii="宋体" w:hAnsi="宋体" w:eastAsia="宋体"/>
          <w:kern w:val="2"/>
          <w:sz w:val="24"/>
          <w:szCs w:val="24"/>
        </w:rPr>
      </w:pPr>
    </w:p>
    <w:p>
      <w:pPr>
        <w:rPr>
          <w:rFonts w:ascii="宋体" w:hAnsi="宋体" w:eastAsia="宋体"/>
          <w:b/>
          <w:snapToGrid w:val="0"/>
          <w:sz w:val="32"/>
        </w:rPr>
      </w:pPr>
      <w:r>
        <w:rPr>
          <w:rFonts w:ascii="宋体" w:hAnsi="宋体" w:eastAsia="宋体"/>
          <w:snapToGrid w:val="0"/>
        </w:rPr>
        <w:br w:type="page"/>
      </w:r>
    </w:p>
    <w:p>
      <w:pPr>
        <w:pStyle w:val="38"/>
        <w:rPr>
          <w:rFonts w:ascii="宋体" w:hAnsi="宋体" w:eastAsia="宋体"/>
          <w:snapToGrid w:val="0"/>
        </w:rPr>
      </w:pPr>
      <w:bookmarkStart w:id="1" w:name="_Toc30830"/>
      <w:r>
        <w:rPr>
          <w:rFonts w:hint="eastAsia" w:ascii="宋体" w:hAnsi="宋体" w:eastAsia="宋体"/>
          <w:snapToGrid w:val="0"/>
        </w:rPr>
        <w:t>第一章</w:t>
      </w:r>
      <w:r>
        <w:rPr>
          <w:rFonts w:ascii="宋体" w:hAnsi="宋体" w:eastAsia="宋体"/>
          <w:snapToGrid w:val="0"/>
        </w:rPr>
        <w:t xml:space="preserve"> </w:t>
      </w:r>
      <w:r>
        <w:rPr>
          <w:rFonts w:hint="eastAsia" w:ascii="宋体" w:hAnsi="宋体" w:eastAsia="宋体"/>
          <w:snapToGrid w:val="0"/>
        </w:rPr>
        <w:t>投标须知</w:t>
      </w:r>
      <w:bookmarkEnd w:id="0"/>
      <w:bookmarkEnd w:id="1"/>
    </w:p>
    <w:p>
      <w:pPr>
        <w:pStyle w:val="4"/>
        <w:snapToGrid w:val="0"/>
        <w:spacing w:before="0" w:after="0" w:line="240" w:lineRule="auto"/>
        <w:jc w:val="left"/>
        <w:rPr>
          <w:rFonts w:ascii="宋体" w:hAnsi="宋体" w:eastAsia="宋体"/>
          <w:sz w:val="28"/>
          <w:szCs w:val="28"/>
        </w:rPr>
      </w:pPr>
      <w:bookmarkStart w:id="2" w:name="_Toc17585"/>
      <w:bookmarkStart w:id="3" w:name="_Toc329097719"/>
      <w:r>
        <w:rPr>
          <w:rFonts w:hint="eastAsia" w:ascii="宋体" w:hAnsi="宋体" w:eastAsia="宋体"/>
          <w:sz w:val="28"/>
          <w:szCs w:val="28"/>
        </w:rPr>
        <w:t>前</w:t>
      </w:r>
      <w:r>
        <w:rPr>
          <w:rFonts w:ascii="宋体" w:hAnsi="宋体" w:eastAsia="宋体"/>
          <w:sz w:val="28"/>
          <w:szCs w:val="28"/>
        </w:rPr>
        <w:t xml:space="preserve"> </w:t>
      </w:r>
      <w:r>
        <w:rPr>
          <w:rFonts w:hint="eastAsia" w:ascii="宋体" w:hAnsi="宋体" w:eastAsia="宋体"/>
          <w:sz w:val="28"/>
          <w:szCs w:val="28"/>
        </w:rPr>
        <w:t>附</w:t>
      </w:r>
      <w:r>
        <w:rPr>
          <w:rFonts w:ascii="宋体" w:hAnsi="宋体" w:eastAsia="宋体"/>
          <w:sz w:val="28"/>
          <w:szCs w:val="28"/>
        </w:rPr>
        <w:t xml:space="preserve"> </w:t>
      </w:r>
      <w:r>
        <w:rPr>
          <w:rFonts w:hint="eastAsia" w:ascii="宋体" w:hAnsi="宋体" w:eastAsia="宋体"/>
          <w:sz w:val="28"/>
          <w:szCs w:val="28"/>
        </w:rPr>
        <w:t>表</w:t>
      </w:r>
      <w:bookmarkEnd w:id="2"/>
      <w:bookmarkEnd w:id="3"/>
    </w:p>
    <w:tbl>
      <w:tblPr>
        <w:tblStyle w:val="40"/>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b/>
                <w:sz w:val="21"/>
                <w:szCs w:val="21"/>
              </w:rPr>
            </w:pPr>
            <w:r>
              <w:rPr>
                <w:rFonts w:hint="eastAsia" w:ascii="宋体" w:hAnsi="宋体" w:eastAsia="宋体"/>
                <w:b/>
                <w:sz w:val="21"/>
                <w:szCs w:val="21"/>
              </w:rPr>
              <w:t>项号</w:t>
            </w:r>
          </w:p>
        </w:tc>
        <w:tc>
          <w:tcPr>
            <w:tcW w:w="1560" w:type="dxa"/>
            <w:vAlign w:val="center"/>
          </w:tcPr>
          <w:p>
            <w:pPr>
              <w:adjustRightInd w:val="0"/>
              <w:snapToGrid w:val="0"/>
              <w:jc w:val="center"/>
              <w:rPr>
                <w:rFonts w:ascii="宋体" w:hAnsi="宋体" w:eastAsia="宋体"/>
                <w:b/>
                <w:sz w:val="21"/>
                <w:szCs w:val="21"/>
              </w:rPr>
            </w:pPr>
            <w:r>
              <w:rPr>
                <w:rFonts w:hint="eastAsia" w:ascii="宋体" w:hAnsi="宋体" w:eastAsia="宋体"/>
                <w:b/>
                <w:sz w:val="21"/>
                <w:szCs w:val="21"/>
              </w:rPr>
              <w:t>内容</w:t>
            </w:r>
          </w:p>
        </w:tc>
        <w:tc>
          <w:tcPr>
            <w:tcW w:w="7087" w:type="dxa"/>
            <w:vAlign w:val="center"/>
          </w:tcPr>
          <w:p>
            <w:pPr>
              <w:adjustRightInd w:val="0"/>
              <w:snapToGrid w:val="0"/>
              <w:jc w:val="center"/>
              <w:rPr>
                <w:rFonts w:ascii="宋体" w:hAnsi="宋体" w:eastAsia="宋体"/>
                <w:b/>
                <w:sz w:val="21"/>
                <w:szCs w:val="21"/>
              </w:rPr>
            </w:pPr>
            <w:r>
              <w:rPr>
                <w:rFonts w:hint="eastAsia" w:ascii="宋体" w:hAnsi="宋体" w:eastAsia="宋体"/>
                <w:b/>
                <w:sz w:val="21"/>
                <w:szCs w:val="21"/>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sz w:val="21"/>
                <w:szCs w:val="21"/>
              </w:rPr>
            </w:pPr>
            <w:r>
              <w:rPr>
                <w:rFonts w:ascii="宋体" w:hAnsi="宋体" w:eastAsia="宋体"/>
                <w:sz w:val="21"/>
                <w:szCs w:val="21"/>
              </w:rPr>
              <w:t>1</w:t>
            </w:r>
          </w:p>
        </w:tc>
        <w:tc>
          <w:tcPr>
            <w:tcW w:w="1560" w:type="dxa"/>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项目名称</w:t>
            </w:r>
          </w:p>
        </w:tc>
        <w:tc>
          <w:tcPr>
            <w:tcW w:w="7087" w:type="dxa"/>
            <w:vAlign w:val="center"/>
          </w:tcPr>
          <w:p>
            <w:pPr>
              <w:adjustRightInd w:val="0"/>
              <w:snapToGrid w:val="0"/>
              <w:jc w:val="both"/>
              <w:rPr>
                <w:rFonts w:ascii="宋体" w:hAnsi="宋体" w:eastAsia="宋体" w:cs="宋体"/>
                <w:sz w:val="21"/>
                <w:szCs w:val="21"/>
              </w:rPr>
            </w:pPr>
            <w:r>
              <w:rPr>
                <w:rFonts w:hint="eastAsia" w:ascii="宋体" w:hAnsi="宋体" w:eastAsia="宋体" w:cs="Arial"/>
                <w:sz w:val="21"/>
                <w:szCs w:val="21"/>
              </w:rPr>
              <w:t>南京大学仙林校区计算机学院楼供电增容改造工程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sz w:val="21"/>
                <w:szCs w:val="21"/>
              </w:rPr>
            </w:pPr>
            <w:r>
              <w:rPr>
                <w:rFonts w:ascii="宋体" w:hAnsi="宋体" w:eastAsia="宋体"/>
                <w:sz w:val="21"/>
                <w:szCs w:val="21"/>
              </w:rPr>
              <w:t>2</w:t>
            </w:r>
          </w:p>
        </w:tc>
        <w:tc>
          <w:tcPr>
            <w:tcW w:w="1560" w:type="dxa"/>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建设地点</w:t>
            </w:r>
          </w:p>
        </w:tc>
        <w:tc>
          <w:tcPr>
            <w:tcW w:w="7087" w:type="dxa"/>
            <w:vAlign w:val="center"/>
          </w:tcPr>
          <w:p>
            <w:pPr>
              <w:adjustRightInd w:val="0"/>
              <w:snapToGrid w:val="0"/>
              <w:jc w:val="both"/>
              <w:rPr>
                <w:rFonts w:ascii="宋体" w:hAnsi="宋体" w:eastAsia="宋体" w:cs="宋体"/>
                <w:sz w:val="21"/>
                <w:szCs w:val="21"/>
              </w:rPr>
            </w:pPr>
            <w:r>
              <w:rPr>
                <w:rFonts w:hint="eastAsia" w:ascii="宋体" w:hAnsi="宋体" w:eastAsia="宋体" w:cs="Arial"/>
                <w:sz w:val="21"/>
                <w:szCs w:val="21"/>
              </w:rPr>
              <w:t>南京大学仙林校区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ascii="宋体" w:hAnsi="宋体" w:eastAsia="宋体"/>
                <w:sz w:val="21"/>
                <w:szCs w:val="21"/>
              </w:rPr>
              <w:t>3</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建设规模</w:t>
            </w:r>
          </w:p>
        </w:tc>
        <w:tc>
          <w:tcPr>
            <w:tcW w:w="7087" w:type="dxa"/>
            <w:vAlign w:val="center"/>
          </w:tcPr>
          <w:p>
            <w:pPr>
              <w:adjustRightInd w:val="0"/>
              <w:snapToGrid w:val="0"/>
              <w:spacing w:before="120" w:beforeLines="50" w:after="120" w:afterLines="50"/>
              <w:jc w:val="both"/>
              <w:rPr>
                <w:rFonts w:hint="eastAsia" w:ascii="宋体" w:hAnsi="宋体" w:eastAsia="宋体" w:cs="宋体"/>
                <w:sz w:val="21"/>
                <w:szCs w:val="21"/>
                <w:lang w:eastAsia="zh-CN"/>
              </w:rPr>
            </w:pPr>
            <w:r>
              <w:rPr>
                <w:rFonts w:hint="eastAsia" w:ascii="宋体" w:hAnsi="宋体" w:eastAsia="宋体" w:cs="宋体"/>
                <w:sz w:val="21"/>
                <w:szCs w:val="21"/>
              </w:rPr>
              <w:t>计算机学院楼供电增容改造</w:t>
            </w:r>
            <w:r>
              <w:rPr>
                <w:rFonts w:hint="eastAsia" w:ascii="宋体" w:hAnsi="宋体" w:eastAsia="宋体" w:cs="宋体"/>
                <w:sz w:val="21"/>
                <w:szCs w:val="21"/>
                <w:lang w:eastAsia="zh-CN"/>
              </w:rPr>
              <w:t>，本工程主要内容为配电箱安装及电缆敷设。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ascii="宋体" w:hAnsi="宋体" w:eastAsia="宋体"/>
                <w:sz w:val="21"/>
                <w:szCs w:val="21"/>
              </w:rPr>
              <w:t>4</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招标范围</w:t>
            </w:r>
          </w:p>
        </w:tc>
        <w:tc>
          <w:tcPr>
            <w:tcW w:w="7087" w:type="dxa"/>
            <w:vAlign w:val="center"/>
          </w:tcPr>
          <w:p>
            <w:pPr>
              <w:adjustRightInd w:val="0"/>
              <w:snapToGrid w:val="0"/>
              <w:spacing w:before="120" w:beforeLines="50" w:after="120" w:afterLines="50"/>
              <w:jc w:val="both"/>
              <w:rPr>
                <w:rFonts w:ascii="宋体" w:hAnsi="宋体" w:eastAsia="宋体" w:cs="宋体"/>
                <w:sz w:val="21"/>
                <w:szCs w:val="21"/>
              </w:rPr>
            </w:pPr>
            <w:r>
              <w:rPr>
                <w:rFonts w:hint="eastAsia" w:ascii="宋体" w:hAnsi="宋体" w:eastAsia="宋体" w:cs="Arial"/>
                <w:sz w:val="21"/>
                <w:szCs w:val="21"/>
              </w:rPr>
              <w:t>计算机学院楼供电增容强电</w:t>
            </w:r>
            <w:r>
              <w:rPr>
                <w:rFonts w:hint="eastAsia" w:ascii="宋体" w:hAnsi="宋体" w:eastAsia="宋体" w:cs="宋体"/>
                <w:sz w:val="21"/>
                <w:szCs w:val="21"/>
              </w:rPr>
              <w:t>专业工程。具体要求详见工程量清单以及编制说明。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ascii="宋体" w:hAnsi="宋体" w:eastAsia="宋体"/>
                <w:sz w:val="21"/>
                <w:szCs w:val="21"/>
              </w:rPr>
              <w:t>5</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计划工期</w:t>
            </w:r>
          </w:p>
        </w:tc>
        <w:tc>
          <w:tcPr>
            <w:tcW w:w="7087" w:type="dxa"/>
            <w:vAlign w:val="center"/>
          </w:tcPr>
          <w:p>
            <w:pPr>
              <w:adjustRightInd w:val="0"/>
              <w:snapToGrid w:val="0"/>
              <w:spacing w:before="120" w:beforeLines="50" w:after="120" w:afterLines="50"/>
              <w:jc w:val="both"/>
              <w:rPr>
                <w:rFonts w:ascii="宋体" w:hAnsi="宋体" w:eastAsia="宋体" w:cs="宋体"/>
                <w:sz w:val="21"/>
                <w:szCs w:val="21"/>
              </w:rPr>
            </w:pPr>
            <w:r>
              <w:rPr>
                <w:rFonts w:hint="eastAsia" w:ascii="宋体" w:hAnsi="宋体" w:eastAsia="宋体" w:cs="宋体"/>
                <w:sz w:val="21"/>
                <w:szCs w:val="21"/>
              </w:rPr>
              <w:t>2019年8月</w:t>
            </w:r>
            <w:r>
              <w:rPr>
                <w:rFonts w:ascii="宋体" w:hAnsi="宋体" w:eastAsia="宋体" w:cs="宋体"/>
                <w:sz w:val="21"/>
                <w:szCs w:val="21"/>
              </w:rPr>
              <w:t>20</w:t>
            </w:r>
            <w:r>
              <w:rPr>
                <w:rFonts w:hint="eastAsia" w:ascii="宋体" w:hAnsi="宋体" w:eastAsia="宋体" w:cs="宋体"/>
                <w:sz w:val="21"/>
                <w:szCs w:val="21"/>
              </w:rPr>
              <w:t>日前竣工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6</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现场踏勘</w:t>
            </w:r>
          </w:p>
        </w:tc>
        <w:tc>
          <w:tcPr>
            <w:tcW w:w="7087" w:type="dxa"/>
            <w:vAlign w:val="center"/>
          </w:tcPr>
          <w:p>
            <w:pPr>
              <w:adjustRightInd w:val="0"/>
              <w:snapToGrid w:val="0"/>
              <w:spacing w:after="120" w:afterLines="50"/>
              <w:jc w:val="both"/>
              <w:rPr>
                <w:rFonts w:ascii="宋体" w:hAnsi="宋体" w:eastAsia="宋体"/>
                <w:sz w:val="21"/>
                <w:szCs w:val="21"/>
              </w:rPr>
            </w:pPr>
            <w:r>
              <w:rPr>
                <w:rFonts w:hint="eastAsia" w:ascii="宋体" w:hAnsi="宋体" w:eastAsia="宋体"/>
                <w:sz w:val="21"/>
                <w:szCs w:val="21"/>
              </w:rPr>
              <w:t>招标人不集中组织勘踏现场。投标人可自行勘踏，一切费用及后果由投标人自行承担。</w:t>
            </w:r>
          </w:p>
          <w:p>
            <w:pPr>
              <w:adjustRightInd w:val="0"/>
              <w:snapToGrid w:val="0"/>
              <w:spacing w:after="120" w:afterLines="50"/>
              <w:jc w:val="both"/>
              <w:rPr>
                <w:rFonts w:ascii="宋体" w:hAnsi="宋体" w:eastAsia="宋体"/>
                <w:sz w:val="21"/>
                <w:szCs w:val="21"/>
              </w:rPr>
            </w:pPr>
            <w:r>
              <w:rPr>
                <w:rFonts w:hint="eastAsia" w:ascii="宋体" w:hAnsi="宋体" w:eastAsia="宋体"/>
                <w:sz w:val="21"/>
                <w:szCs w:val="21"/>
              </w:rPr>
              <w:t>联系人：王老师</w:t>
            </w:r>
            <w:r>
              <w:rPr>
                <w:rFonts w:ascii="宋体" w:hAnsi="宋体" w:eastAsia="宋体"/>
                <w:sz w:val="21"/>
                <w:szCs w:val="21"/>
              </w:rPr>
              <w:t xml:space="preserve"> 025-</w:t>
            </w:r>
            <w:r>
              <w:rPr>
                <w:rFonts w:hint="eastAsia" w:ascii="宋体" w:hAnsi="宋体" w:eastAsia="宋体"/>
                <w:sz w:val="21"/>
                <w:szCs w:val="21"/>
              </w:rPr>
              <w:t>857899</w:t>
            </w:r>
            <w:r>
              <w:rPr>
                <w:rFonts w:ascii="宋体" w:hAnsi="宋体" w:eastAsia="宋体"/>
                <w:sz w:val="21"/>
                <w:szCs w:val="21"/>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7</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投标文件份数</w:t>
            </w:r>
          </w:p>
        </w:tc>
        <w:tc>
          <w:tcPr>
            <w:tcW w:w="7087" w:type="dxa"/>
            <w:vAlign w:val="center"/>
          </w:tcPr>
          <w:p>
            <w:pPr>
              <w:adjustRightInd w:val="0"/>
              <w:snapToGrid w:val="0"/>
              <w:spacing w:before="120" w:beforeLines="50" w:after="120" w:afterLines="50"/>
              <w:ind w:left="-100" w:leftChars="-50" w:right="-100" w:rightChars="-50"/>
              <w:rPr>
                <w:rFonts w:ascii="宋体" w:hAnsi="宋体" w:eastAsia="宋体"/>
                <w:sz w:val="21"/>
                <w:szCs w:val="21"/>
              </w:rPr>
            </w:pPr>
            <w:r>
              <w:rPr>
                <w:rFonts w:hint="eastAsia" w:ascii="宋体" w:hAnsi="宋体" w:eastAsia="宋体"/>
                <w:sz w:val="21"/>
                <w:szCs w:val="21"/>
              </w:rPr>
              <w:t>正本</w:t>
            </w:r>
            <w:r>
              <w:rPr>
                <w:rFonts w:ascii="宋体" w:hAnsi="宋体" w:eastAsia="宋体"/>
                <w:sz w:val="21"/>
                <w:szCs w:val="21"/>
              </w:rPr>
              <w:t>1</w:t>
            </w:r>
            <w:r>
              <w:rPr>
                <w:rFonts w:hint="eastAsia" w:ascii="宋体" w:hAnsi="宋体" w:eastAsia="宋体"/>
                <w:sz w:val="21"/>
                <w:szCs w:val="21"/>
              </w:rPr>
              <w:t>份，副本2份（电子版1份）。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8</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报名方式及截止时间</w:t>
            </w:r>
          </w:p>
        </w:tc>
        <w:tc>
          <w:tcPr>
            <w:tcW w:w="7087" w:type="dxa"/>
            <w:vAlign w:val="center"/>
          </w:tcPr>
          <w:p>
            <w:pPr>
              <w:adjustRightInd w:val="0"/>
              <w:snapToGrid w:val="0"/>
              <w:spacing w:before="120" w:beforeLines="50" w:after="120" w:afterLines="50"/>
              <w:rPr>
                <w:rFonts w:ascii="宋体" w:hAnsi="宋体" w:eastAsia="宋体"/>
                <w:sz w:val="21"/>
                <w:szCs w:val="21"/>
              </w:rPr>
            </w:pPr>
            <w:r>
              <w:rPr>
                <w:rFonts w:ascii="宋体" w:hAnsi="宋体" w:eastAsia="宋体"/>
                <w:sz w:val="21"/>
                <w:szCs w:val="21"/>
              </w:rPr>
              <w:t>报名方式：投标人将报名信息以邮件形式发送至：13705165269@163.com；报名邮件主题统一为：</w:t>
            </w:r>
            <w:r>
              <w:rPr>
                <w:rFonts w:hint="eastAsia" w:ascii="宋体" w:hAnsi="宋体" w:eastAsia="宋体" w:cs="Arial"/>
                <w:sz w:val="21"/>
                <w:szCs w:val="21"/>
              </w:rPr>
              <w:t>南京大学仙林校区计算机学院楼供电增容改造工程</w:t>
            </w:r>
            <w:r>
              <w:rPr>
                <w:rFonts w:ascii="宋体" w:hAnsi="宋体" w:eastAsia="宋体"/>
                <w:sz w:val="21"/>
                <w:szCs w:val="21"/>
              </w:rPr>
              <w:t>报名信息格式不限，但必须包含招标采购项目名称</w:t>
            </w:r>
            <w:r>
              <w:rPr>
                <w:rFonts w:hint="eastAsia" w:ascii="宋体" w:hAnsi="宋体" w:eastAsia="宋体"/>
                <w:sz w:val="21"/>
                <w:szCs w:val="21"/>
              </w:rPr>
              <w:t>、</w:t>
            </w:r>
            <w:r>
              <w:rPr>
                <w:rFonts w:ascii="宋体" w:hAnsi="宋体" w:eastAsia="宋体"/>
                <w:sz w:val="21"/>
                <w:szCs w:val="21"/>
              </w:rPr>
              <w:t>投标单位名称、联系人、联系方式等内容。</w:t>
            </w:r>
          </w:p>
          <w:p>
            <w:pPr>
              <w:adjustRightInd w:val="0"/>
              <w:snapToGrid w:val="0"/>
              <w:spacing w:before="120" w:beforeLines="50" w:after="120" w:afterLines="50"/>
              <w:rPr>
                <w:rFonts w:ascii="宋体" w:hAnsi="宋体" w:eastAsia="宋体"/>
                <w:sz w:val="21"/>
                <w:szCs w:val="21"/>
              </w:rPr>
            </w:pPr>
            <w:r>
              <w:rPr>
                <w:rFonts w:ascii="宋体" w:hAnsi="宋体" w:eastAsia="宋体"/>
                <w:sz w:val="21"/>
                <w:szCs w:val="21"/>
              </w:rPr>
              <w:t>报名截止时间：2019年</w:t>
            </w:r>
            <w:r>
              <w:rPr>
                <w:rFonts w:hint="eastAsia" w:ascii="宋体" w:hAnsi="宋体" w:eastAsia="宋体"/>
                <w:sz w:val="21"/>
                <w:szCs w:val="21"/>
              </w:rPr>
              <w:t>7</w:t>
            </w:r>
            <w:r>
              <w:rPr>
                <w:rFonts w:ascii="宋体" w:hAnsi="宋体" w:eastAsia="宋体"/>
                <w:sz w:val="21"/>
                <w:szCs w:val="21"/>
              </w:rPr>
              <w:t>月</w:t>
            </w:r>
            <w:r>
              <w:rPr>
                <w:rFonts w:hint="eastAsia" w:ascii="宋体" w:hAnsi="宋体" w:eastAsia="宋体"/>
                <w:sz w:val="21"/>
                <w:szCs w:val="21"/>
              </w:rPr>
              <w:t xml:space="preserve"> 2</w:t>
            </w:r>
            <w:r>
              <w:rPr>
                <w:rFonts w:ascii="宋体" w:hAnsi="宋体" w:eastAsia="宋体"/>
                <w:sz w:val="21"/>
                <w:szCs w:val="21"/>
              </w:rPr>
              <w:t>9日</w:t>
            </w:r>
            <w:r>
              <w:rPr>
                <w:rFonts w:hint="eastAsia" w:ascii="宋体" w:hAnsi="宋体" w:eastAsia="宋体"/>
                <w:sz w:val="21"/>
                <w:szCs w:val="21"/>
              </w:rPr>
              <w:t>15</w:t>
            </w:r>
            <w:r>
              <w:rPr>
                <w:rFonts w:ascii="宋体" w:hAnsi="宋体" w:eastAsia="宋体"/>
                <w:sz w:val="21"/>
                <w:szCs w:val="21"/>
              </w:rPr>
              <w:t>时00分</w:t>
            </w:r>
          </w:p>
          <w:p>
            <w:pPr>
              <w:adjustRightInd w:val="0"/>
              <w:snapToGrid w:val="0"/>
              <w:spacing w:before="120" w:beforeLines="50" w:after="120" w:afterLines="50"/>
              <w:rPr>
                <w:rFonts w:ascii="宋体" w:hAnsi="宋体" w:eastAsia="宋体"/>
                <w:sz w:val="21"/>
                <w:szCs w:val="21"/>
              </w:rPr>
            </w:pPr>
            <w:r>
              <w:rPr>
                <w:rFonts w:ascii="宋体" w:hAnsi="宋体" w:eastAsia="宋体"/>
                <w:sz w:val="21"/>
                <w:szCs w:val="21"/>
              </w:rPr>
              <w:t>未登记报名的，招标人有权拒绝投标人参加投标。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9</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投标文件递交及开标</w:t>
            </w:r>
          </w:p>
        </w:tc>
        <w:tc>
          <w:tcPr>
            <w:tcW w:w="7087" w:type="dxa"/>
            <w:vAlign w:val="center"/>
          </w:tcPr>
          <w:p>
            <w:pPr>
              <w:adjustRightInd w:val="0"/>
              <w:snapToGrid w:val="0"/>
              <w:spacing w:before="120" w:beforeLines="50" w:after="120" w:afterLines="50"/>
              <w:rPr>
                <w:rFonts w:ascii="宋体" w:hAnsi="宋体" w:eastAsia="宋体" w:cs="Arial"/>
                <w:sz w:val="21"/>
                <w:szCs w:val="21"/>
              </w:rPr>
            </w:pPr>
            <w:r>
              <w:rPr>
                <w:rFonts w:ascii="宋体" w:hAnsi="宋体" w:eastAsia="宋体" w:cs="Arial"/>
                <w:sz w:val="21"/>
                <w:szCs w:val="21"/>
              </w:rPr>
              <w:t>投标文件递交及开标时间：2019年</w:t>
            </w:r>
            <w:r>
              <w:rPr>
                <w:rFonts w:hint="eastAsia" w:ascii="宋体" w:hAnsi="宋体" w:eastAsia="宋体" w:cs="Arial"/>
                <w:sz w:val="21"/>
                <w:szCs w:val="21"/>
              </w:rPr>
              <w:t>7</w:t>
            </w:r>
            <w:r>
              <w:rPr>
                <w:rFonts w:ascii="宋体" w:hAnsi="宋体" w:eastAsia="宋体" w:cs="Arial"/>
                <w:sz w:val="21"/>
                <w:szCs w:val="21"/>
              </w:rPr>
              <w:t>月</w:t>
            </w:r>
            <w:r>
              <w:rPr>
                <w:rFonts w:hint="eastAsia" w:ascii="宋体" w:hAnsi="宋体" w:eastAsia="宋体" w:cs="Arial"/>
                <w:sz w:val="21"/>
                <w:szCs w:val="21"/>
              </w:rPr>
              <w:t>30</w:t>
            </w:r>
            <w:r>
              <w:rPr>
                <w:rFonts w:ascii="宋体" w:hAnsi="宋体" w:eastAsia="宋体" w:cs="Arial"/>
                <w:sz w:val="21"/>
                <w:szCs w:val="21"/>
              </w:rPr>
              <w:t>日</w:t>
            </w:r>
            <w:r>
              <w:rPr>
                <w:rFonts w:hint="eastAsia" w:ascii="宋体" w:hAnsi="宋体" w:eastAsia="宋体" w:cs="Arial"/>
                <w:sz w:val="21"/>
                <w:szCs w:val="21"/>
              </w:rPr>
              <w:t>10</w:t>
            </w:r>
            <w:r>
              <w:rPr>
                <w:rFonts w:ascii="宋体" w:hAnsi="宋体" w:eastAsia="宋体" w:cs="Arial"/>
                <w:sz w:val="21"/>
                <w:szCs w:val="21"/>
              </w:rPr>
              <w:t>时00分</w:t>
            </w:r>
          </w:p>
          <w:p>
            <w:pPr>
              <w:adjustRightInd w:val="0"/>
              <w:snapToGrid w:val="0"/>
              <w:spacing w:before="120" w:beforeLines="50" w:after="120" w:afterLines="50"/>
              <w:rPr>
                <w:rFonts w:ascii="宋体" w:hAnsi="宋体" w:eastAsia="宋体" w:cs="Arial"/>
                <w:sz w:val="21"/>
                <w:szCs w:val="21"/>
              </w:rPr>
            </w:pPr>
            <w:r>
              <w:rPr>
                <w:rFonts w:ascii="宋体" w:hAnsi="宋体" w:eastAsia="宋体" w:cs="Arial"/>
                <w:sz w:val="21"/>
                <w:szCs w:val="21"/>
              </w:rPr>
              <w:t>投标文件递交及开标地点：南京大学仙林校区综合楼409（南）会议室（五食堂楼上）。</w:t>
            </w:r>
          </w:p>
          <w:p>
            <w:pPr>
              <w:adjustRightInd w:val="0"/>
              <w:snapToGrid w:val="0"/>
              <w:spacing w:before="120" w:beforeLines="50" w:after="120" w:afterLines="50"/>
              <w:rPr>
                <w:rFonts w:ascii="宋体" w:hAnsi="宋体" w:eastAsia="宋体" w:cs="Arial"/>
                <w:sz w:val="21"/>
                <w:szCs w:val="21"/>
              </w:rPr>
            </w:pPr>
            <w:r>
              <w:rPr>
                <w:rFonts w:ascii="宋体" w:hAnsi="宋体" w:eastAsia="宋体" w:cs="Arial"/>
                <w:sz w:val="21"/>
                <w:szCs w:val="21"/>
              </w:rPr>
              <w:t>投标文件送达方式：直接送达纸质件材料，不接受邮寄等其他送达方式。</w:t>
            </w:r>
          </w:p>
          <w:p>
            <w:pPr>
              <w:adjustRightInd w:val="0"/>
              <w:snapToGrid w:val="0"/>
              <w:spacing w:before="120" w:beforeLines="50" w:after="120" w:afterLines="50"/>
              <w:rPr>
                <w:rFonts w:ascii="宋体" w:hAnsi="宋体" w:eastAsia="宋体"/>
                <w:sz w:val="21"/>
                <w:szCs w:val="21"/>
              </w:rPr>
            </w:pPr>
            <w:r>
              <w:rPr>
                <w:rFonts w:ascii="宋体" w:hAnsi="宋体" w:eastAsia="宋体" w:cs="Arial"/>
                <w:sz w:val="21"/>
                <w:szCs w:val="21"/>
              </w:rPr>
              <w:t>投标文件必须按招标文件规定的时间及地点送达，逾期或不符合密封要求的投标文件恕不接受。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0</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评标办法</w:t>
            </w:r>
          </w:p>
        </w:tc>
        <w:tc>
          <w:tcPr>
            <w:tcW w:w="7087" w:type="dxa"/>
            <w:vAlign w:val="center"/>
          </w:tcPr>
          <w:p>
            <w:pPr>
              <w:adjustRightInd w:val="0"/>
              <w:snapToGrid w:val="0"/>
              <w:spacing w:before="120" w:beforeLines="50" w:after="120" w:afterLines="50"/>
              <w:rPr>
                <w:rFonts w:ascii="宋体" w:hAnsi="宋体" w:eastAsia="宋体"/>
                <w:sz w:val="21"/>
                <w:szCs w:val="21"/>
              </w:rPr>
            </w:pPr>
            <w:r>
              <w:rPr>
                <w:rFonts w:hint="eastAsia" w:ascii="宋体" w:hAnsi="宋体" w:eastAsia="宋体"/>
                <w:sz w:val="21"/>
                <w:szCs w:val="21"/>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1</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投标有效期</w:t>
            </w:r>
          </w:p>
        </w:tc>
        <w:tc>
          <w:tcPr>
            <w:tcW w:w="7087" w:type="dxa"/>
            <w:vAlign w:val="center"/>
          </w:tcPr>
          <w:p>
            <w:pPr>
              <w:adjustRightInd w:val="0"/>
              <w:snapToGrid w:val="0"/>
              <w:spacing w:before="120" w:beforeLines="50" w:after="120" w:afterLines="50"/>
              <w:rPr>
                <w:rFonts w:ascii="宋体" w:hAnsi="宋体" w:eastAsia="宋体"/>
                <w:sz w:val="21"/>
                <w:szCs w:val="21"/>
              </w:rPr>
            </w:pPr>
            <w:r>
              <w:rPr>
                <w:rFonts w:hint="eastAsia" w:ascii="宋体" w:hAnsi="宋体" w:eastAsia="宋体"/>
                <w:bCs/>
                <w:snapToGrid w:val="0"/>
                <w:sz w:val="21"/>
                <w:szCs w:val="21"/>
              </w:rPr>
              <w:t>投标截止日后</w:t>
            </w:r>
            <w:r>
              <w:rPr>
                <w:rFonts w:ascii="宋体" w:hAnsi="宋体" w:eastAsia="宋体"/>
                <w:bCs/>
                <w:snapToGrid w:val="0"/>
                <w:sz w:val="21"/>
                <w:szCs w:val="21"/>
                <w:u w:val="single"/>
              </w:rPr>
              <w:t>60</w:t>
            </w:r>
            <w:r>
              <w:rPr>
                <w:rFonts w:hint="eastAsia" w:ascii="宋体" w:hAnsi="宋体" w:eastAsia="宋体"/>
                <w:bCs/>
                <w:snapToGrid w:val="0"/>
                <w:sz w:val="21"/>
                <w:szCs w:val="21"/>
              </w:rPr>
              <w:t>日内有效。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2</w:t>
            </w:r>
          </w:p>
        </w:tc>
        <w:tc>
          <w:tcPr>
            <w:tcW w:w="1560" w:type="dxa"/>
            <w:vAlign w:val="center"/>
          </w:tcPr>
          <w:p>
            <w:pPr>
              <w:adjustRightInd w:val="0"/>
              <w:snapToGrid w:val="0"/>
              <w:spacing w:before="120" w:beforeLines="50" w:after="120" w:afterLines="50"/>
              <w:jc w:val="center"/>
              <w:rPr>
                <w:rFonts w:ascii="宋体" w:hAnsi="宋体" w:eastAsia="宋体"/>
                <w:sz w:val="21"/>
                <w:szCs w:val="21"/>
              </w:rPr>
            </w:pPr>
            <w:r>
              <w:rPr>
                <w:rFonts w:hint="eastAsia" w:ascii="宋体" w:hAnsi="宋体" w:eastAsia="宋体"/>
                <w:sz w:val="21"/>
                <w:szCs w:val="21"/>
              </w:rPr>
              <w:t>投标费用</w:t>
            </w:r>
          </w:p>
        </w:tc>
        <w:tc>
          <w:tcPr>
            <w:tcW w:w="7087" w:type="dxa"/>
            <w:vAlign w:val="center"/>
          </w:tcPr>
          <w:p>
            <w:pPr>
              <w:adjustRightInd w:val="0"/>
              <w:snapToGrid w:val="0"/>
              <w:spacing w:before="120" w:beforeLines="50" w:after="120" w:afterLines="50"/>
              <w:rPr>
                <w:rFonts w:ascii="宋体" w:hAnsi="宋体" w:eastAsia="宋体"/>
                <w:sz w:val="21"/>
                <w:szCs w:val="21"/>
              </w:rPr>
            </w:pPr>
            <w:r>
              <w:rPr>
                <w:rFonts w:hint="eastAsia" w:ascii="宋体" w:hAnsi="宋体" w:eastAsia="宋体"/>
                <w:sz w:val="21"/>
                <w:szCs w:val="21"/>
              </w:rPr>
              <w:t>投标自行承担，招标人不补偿费用。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3</w:t>
            </w:r>
          </w:p>
        </w:tc>
        <w:tc>
          <w:tcPr>
            <w:tcW w:w="1560" w:type="dxa"/>
            <w:vAlign w:val="center"/>
          </w:tcPr>
          <w:p>
            <w:pPr>
              <w:adjustRightInd w:val="0"/>
              <w:snapToGrid w:val="0"/>
              <w:spacing w:before="120" w:beforeLines="50" w:after="120" w:afterLines="50"/>
              <w:jc w:val="center"/>
              <w:rPr>
                <w:rFonts w:ascii="宋体" w:hAnsi="宋体" w:eastAsia="宋体" w:cs="宋体"/>
                <w:sz w:val="21"/>
                <w:szCs w:val="21"/>
              </w:rPr>
            </w:pPr>
            <w:r>
              <w:rPr>
                <w:rFonts w:hint="eastAsia" w:ascii="宋体" w:hAnsi="宋体" w:eastAsia="宋体" w:cs="宋体"/>
                <w:sz w:val="21"/>
                <w:szCs w:val="21"/>
              </w:rPr>
              <w:t>联系人及</w:t>
            </w:r>
          </w:p>
          <w:p>
            <w:pPr>
              <w:adjustRightInd w:val="0"/>
              <w:snapToGrid w:val="0"/>
              <w:spacing w:before="120" w:beforeLines="50" w:after="120" w:afterLines="50"/>
              <w:jc w:val="center"/>
              <w:rPr>
                <w:rFonts w:ascii="宋体" w:hAnsi="宋体" w:eastAsia="宋体" w:cs="宋体"/>
                <w:sz w:val="21"/>
                <w:szCs w:val="21"/>
              </w:rPr>
            </w:pPr>
            <w:r>
              <w:rPr>
                <w:rFonts w:hint="eastAsia" w:ascii="宋体" w:hAnsi="宋体" w:eastAsia="宋体" w:cs="宋体"/>
                <w:sz w:val="21"/>
                <w:szCs w:val="21"/>
              </w:rPr>
              <w:t>联系方式</w:t>
            </w:r>
          </w:p>
        </w:tc>
        <w:tc>
          <w:tcPr>
            <w:tcW w:w="7087" w:type="dxa"/>
            <w:vAlign w:val="center"/>
          </w:tcPr>
          <w:p>
            <w:pPr>
              <w:adjustRightInd w:val="0"/>
              <w:snapToGrid w:val="0"/>
              <w:spacing w:before="120" w:beforeLines="50" w:after="120" w:afterLines="50"/>
              <w:rPr>
                <w:rFonts w:ascii="宋体" w:hAnsi="宋体" w:eastAsia="宋体" w:cs="宋体"/>
                <w:sz w:val="21"/>
                <w:szCs w:val="21"/>
              </w:rPr>
            </w:pPr>
            <w:r>
              <w:rPr>
                <w:rFonts w:hint="eastAsia" w:ascii="宋体" w:hAnsi="宋体" w:eastAsia="宋体" w:cs="宋体"/>
                <w:sz w:val="21"/>
                <w:szCs w:val="21"/>
              </w:rPr>
              <w:t>招标人：陆老师</w:t>
            </w:r>
            <w:r>
              <w:rPr>
                <w:rFonts w:ascii="宋体" w:hAnsi="宋体" w:eastAsia="宋体" w:cs="宋体"/>
                <w:sz w:val="21"/>
                <w:szCs w:val="21"/>
              </w:rPr>
              <w:t xml:space="preserve"> 025-85789926</w:t>
            </w:r>
          </w:p>
          <w:p>
            <w:pPr>
              <w:adjustRightInd w:val="0"/>
              <w:snapToGrid w:val="0"/>
              <w:spacing w:before="120" w:beforeLines="50" w:after="120" w:afterLines="50"/>
              <w:rPr>
                <w:rFonts w:ascii="宋体" w:hAnsi="宋体" w:eastAsia="宋体" w:cs="宋体"/>
                <w:sz w:val="21"/>
                <w:szCs w:val="21"/>
              </w:rPr>
            </w:pPr>
            <w:r>
              <w:rPr>
                <w:rFonts w:hint="eastAsia" w:ascii="宋体" w:hAnsi="宋体" w:eastAsia="宋体" w:cs="宋体"/>
                <w:sz w:val="21"/>
                <w:szCs w:val="21"/>
              </w:rPr>
              <w:t>电子邮箱：</w:t>
            </w:r>
            <w:r>
              <w:rPr>
                <w:rFonts w:ascii="宋体" w:hAnsi="宋体" w:eastAsia="宋体" w:cs="宋体"/>
                <w:sz w:val="21"/>
                <w:szCs w:val="21"/>
              </w:rPr>
              <w:t>13705165269@163.com</w:t>
            </w:r>
          </w:p>
        </w:tc>
      </w:tr>
    </w:tbl>
    <w:p>
      <w:pPr>
        <w:pStyle w:val="4"/>
        <w:spacing w:before="360" w:after="120" w:line="360" w:lineRule="auto"/>
        <w:rPr>
          <w:rFonts w:ascii="宋体" w:hAnsi="宋体" w:eastAsia="宋体"/>
          <w:snapToGrid w:val="0"/>
          <w:sz w:val="28"/>
          <w:szCs w:val="28"/>
        </w:rPr>
      </w:pPr>
      <w:r>
        <w:rPr>
          <w:rFonts w:ascii="宋体" w:hAnsi="宋体" w:eastAsia="宋体"/>
          <w:snapToGrid w:val="0"/>
          <w:sz w:val="30"/>
        </w:rPr>
        <w:br w:type="page"/>
      </w:r>
      <w:bookmarkStart w:id="4" w:name="_Toc329097721"/>
      <w:bookmarkStart w:id="5" w:name="_Toc4624"/>
      <w:r>
        <w:rPr>
          <w:rFonts w:hint="eastAsia" w:ascii="宋体" w:hAnsi="宋体" w:eastAsia="宋体"/>
          <w:snapToGrid w:val="0"/>
          <w:sz w:val="28"/>
          <w:szCs w:val="28"/>
        </w:rPr>
        <w:t>一、总</w:t>
      </w:r>
      <w:r>
        <w:rPr>
          <w:rFonts w:ascii="宋体" w:hAnsi="宋体" w:eastAsia="宋体"/>
          <w:snapToGrid w:val="0"/>
          <w:sz w:val="28"/>
          <w:szCs w:val="28"/>
        </w:rPr>
        <w:t xml:space="preserve">    </w:t>
      </w:r>
      <w:r>
        <w:rPr>
          <w:rFonts w:hint="eastAsia" w:ascii="宋体" w:hAnsi="宋体" w:eastAsia="宋体"/>
          <w:snapToGrid w:val="0"/>
          <w:sz w:val="28"/>
          <w:szCs w:val="28"/>
        </w:rPr>
        <w:t>则</w:t>
      </w:r>
      <w:bookmarkEnd w:id="4"/>
      <w:bookmarkEnd w:id="5"/>
    </w:p>
    <w:p>
      <w:pPr>
        <w:adjustRightInd w:val="0"/>
        <w:snapToGrid w:val="0"/>
        <w:spacing w:line="500" w:lineRule="exact"/>
        <w:ind w:firstLine="482" w:firstLineChars="200"/>
        <w:rPr>
          <w:rFonts w:ascii="宋体" w:hAnsi="宋体" w:eastAsia="宋体"/>
          <w:b/>
          <w:sz w:val="24"/>
          <w:szCs w:val="24"/>
        </w:rPr>
      </w:pPr>
      <w:bookmarkStart w:id="6" w:name="_Toc329097722"/>
      <w:r>
        <w:rPr>
          <w:rFonts w:ascii="宋体" w:hAnsi="宋体" w:eastAsia="宋体"/>
          <w:b/>
          <w:sz w:val="24"/>
          <w:szCs w:val="24"/>
        </w:rPr>
        <w:t>(</w:t>
      </w:r>
      <w:r>
        <w:rPr>
          <w:rFonts w:hint="eastAsia" w:ascii="宋体" w:hAnsi="宋体" w:eastAsia="宋体"/>
          <w:b/>
          <w:sz w:val="24"/>
          <w:szCs w:val="24"/>
        </w:rPr>
        <w:t>一</w:t>
      </w:r>
      <w:r>
        <w:rPr>
          <w:rFonts w:ascii="宋体" w:hAnsi="宋体" w:eastAsia="宋体"/>
          <w:b/>
          <w:sz w:val="24"/>
          <w:szCs w:val="24"/>
        </w:rPr>
        <w:t>)</w:t>
      </w:r>
      <w:r>
        <w:rPr>
          <w:rFonts w:hint="eastAsia" w:ascii="宋体" w:hAnsi="宋体" w:eastAsia="宋体"/>
          <w:b/>
          <w:sz w:val="24"/>
          <w:szCs w:val="24"/>
        </w:rPr>
        <w:t>工程概况：</w:t>
      </w:r>
      <w:bookmarkEnd w:id="6"/>
    </w:p>
    <w:p>
      <w:pPr>
        <w:snapToGrid w:val="0"/>
        <w:spacing w:line="500" w:lineRule="exact"/>
        <w:ind w:firstLine="480" w:firstLineChars="200"/>
        <w:rPr>
          <w:rFonts w:ascii="宋体" w:hAnsi="宋体" w:eastAsia="宋体" w:cs="宋体"/>
          <w:sz w:val="24"/>
          <w:szCs w:val="24"/>
        </w:rPr>
      </w:pPr>
      <w:bookmarkStart w:id="7" w:name="_Toc329097723"/>
      <w:r>
        <w:rPr>
          <w:rFonts w:ascii="宋体" w:hAnsi="宋体" w:eastAsia="宋体" w:cs="宋体"/>
          <w:sz w:val="24"/>
          <w:szCs w:val="24"/>
        </w:rPr>
        <w:t>1</w:t>
      </w:r>
      <w:r>
        <w:rPr>
          <w:rFonts w:hint="eastAsia" w:ascii="宋体" w:hAnsi="宋体" w:eastAsia="宋体" w:cs="宋体"/>
          <w:sz w:val="24"/>
          <w:szCs w:val="24"/>
        </w:rPr>
        <w:t>、建设规模：</w:t>
      </w:r>
      <w:r>
        <w:rPr>
          <w:rFonts w:hint="eastAsia" w:ascii="宋体" w:hAnsi="宋体" w:eastAsia="宋体" w:cs="宋体"/>
          <w:b/>
          <w:sz w:val="24"/>
          <w:szCs w:val="24"/>
          <w:u w:val="single"/>
        </w:rPr>
        <w:t>南京大学仙林校区计算机学院楼供电增容改造工程</w:t>
      </w:r>
      <w:r>
        <w:rPr>
          <w:rFonts w:hint="eastAsia" w:ascii="宋体" w:hAnsi="宋体" w:eastAsia="宋体" w:cs="宋体"/>
          <w:b/>
          <w:sz w:val="24"/>
          <w:szCs w:val="24"/>
          <w:u w:val="single"/>
          <w:lang w:eastAsia="zh-CN"/>
        </w:rPr>
        <w:t>，本工程主要内容为配电箱安装及电缆敷设</w:t>
      </w:r>
      <w:r>
        <w:rPr>
          <w:rFonts w:hint="eastAsia" w:ascii="宋体" w:hAnsi="宋体" w:eastAsia="宋体" w:cs="宋体"/>
          <w:sz w:val="24"/>
          <w:szCs w:val="24"/>
        </w:rPr>
        <w:t>；</w:t>
      </w:r>
    </w:p>
    <w:p>
      <w:pPr>
        <w:snapToGrid w:val="0"/>
        <w:spacing w:line="500" w:lineRule="exact"/>
        <w:ind w:firstLine="480" w:firstLineChars="200"/>
        <w:rPr>
          <w:rFonts w:ascii="宋体" w:hAnsi="宋体" w:eastAsia="宋体" w:cs="宋体"/>
          <w:b/>
          <w:sz w:val="24"/>
        </w:rPr>
      </w:pPr>
      <w:r>
        <w:rPr>
          <w:rFonts w:hint="eastAsia" w:ascii="宋体" w:hAnsi="宋体" w:eastAsia="宋体" w:cs="宋体"/>
          <w:sz w:val="24"/>
          <w:szCs w:val="24"/>
        </w:rPr>
        <w:t>2、招标范围：</w:t>
      </w:r>
      <w:r>
        <w:rPr>
          <w:rFonts w:hint="eastAsia" w:ascii="宋体" w:hAnsi="宋体" w:eastAsia="宋体" w:cs="宋体"/>
          <w:b/>
          <w:sz w:val="24"/>
          <w:u w:val="single"/>
        </w:rPr>
        <w:t>计算机楼供电</w:t>
      </w:r>
      <w:r>
        <w:rPr>
          <w:rFonts w:ascii="宋体" w:hAnsi="宋体" w:eastAsia="宋体" w:cs="宋体"/>
          <w:b/>
          <w:sz w:val="24"/>
          <w:u w:val="single"/>
        </w:rPr>
        <w:t>增容</w:t>
      </w:r>
      <w:r>
        <w:rPr>
          <w:rFonts w:hint="eastAsia" w:ascii="宋体" w:hAnsi="宋体" w:eastAsia="宋体" w:cs="宋体"/>
          <w:b/>
          <w:sz w:val="24"/>
          <w:u w:val="single"/>
        </w:rPr>
        <w:t>改造工程。具体要求详见清单编制说明、工程量清单</w:t>
      </w:r>
      <w:r>
        <w:rPr>
          <w:rFonts w:hint="eastAsia" w:ascii="宋体" w:hAnsi="宋体" w:eastAsia="宋体" w:cs="宋体"/>
          <w:b/>
          <w:sz w:val="24"/>
        </w:rPr>
        <w:t>；</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3、工期要求：</w:t>
      </w:r>
      <w:r>
        <w:rPr>
          <w:rFonts w:hint="eastAsia" w:ascii="宋体" w:hAnsi="宋体" w:eastAsia="宋体" w:cs="宋体"/>
          <w:b/>
          <w:bCs/>
          <w:sz w:val="24"/>
          <w:szCs w:val="24"/>
          <w:u w:val="single"/>
        </w:rPr>
        <w:t>2019年8月</w:t>
      </w:r>
      <w:r>
        <w:rPr>
          <w:rFonts w:ascii="宋体" w:hAnsi="宋体" w:eastAsia="宋体" w:cs="宋体"/>
          <w:b/>
          <w:bCs/>
          <w:sz w:val="24"/>
          <w:szCs w:val="24"/>
          <w:u w:val="single"/>
        </w:rPr>
        <w:t>2</w:t>
      </w:r>
      <w:r>
        <w:rPr>
          <w:rFonts w:hint="eastAsia" w:ascii="宋体" w:hAnsi="宋体" w:eastAsia="宋体" w:cs="宋体"/>
          <w:b/>
          <w:bCs/>
          <w:sz w:val="24"/>
          <w:szCs w:val="24"/>
          <w:u w:val="single"/>
        </w:rPr>
        <w:t>0日前竣工；</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4、质量要求：</w:t>
      </w:r>
      <w:r>
        <w:rPr>
          <w:rFonts w:hint="eastAsia" w:asciiTheme="minorEastAsia" w:hAnsiTheme="minorEastAsia" w:eastAsiaTheme="minorEastAsia" w:cstheme="minorEastAsia"/>
          <w:b/>
          <w:bCs/>
          <w:sz w:val="24"/>
          <w:szCs w:val="24"/>
          <w:u w:val="single"/>
        </w:rPr>
        <w:t>合格，执行现行施工规范、质量标准、操作规程及验收标准；</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5、最高限价：</w:t>
      </w:r>
      <w:r>
        <w:rPr>
          <w:rFonts w:ascii="宋体" w:hAnsi="宋体" w:eastAsia="宋体" w:cs="宋体"/>
          <w:b/>
          <w:sz w:val="24"/>
          <w:szCs w:val="24"/>
          <w:u w:val="single"/>
        </w:rPr>
        <w:t>26</w:t>
      </w:r>
      <w:r>
        <w:rPr>
          <w:rFonts w:hint="eastAsia" w:ascii="宋体" w:hAnsi="宋体" w:eastAsia="宋体" w:cs="宋体"/>
          <w:b/>
          <w:sz w:val="24"/>
          <w:szCs w:val="24"/>
          <w:u w:val="single"/>
          <w:lang w:val="en-US" w:eastAsia="zh-CN"/>
        </w:rPr>
        <w:t>.72</w:t>
      </w:r>
      <w:r>
        <w:rPr>
          <w:rFonts w:hint="eastAsia" w:ascii="宋体" w:hAnsi="宋体" w:eastAsia="宋体" w:cs="宋体"/>
          <w:b/>
          <w:sz w:val="24"/>
          <w:szCs w:val="24"/>
          <w:u w:val="single"/>
        </w:rPr>
        <w:t>万</w:t>
      </w:r>
      <w:r>
        <w:rPr>
          <w:rFonts w:ascii="宋体" w:hAnsi="宋体" w:eastAsia="宋体" w:cs="宋体"/>
          <w:b/>
          <w:sz w:val="24"/>
          <w:szCs w:val="24"/>
          <w:u w:val="single"/>
        </w:rPr>
        <w:t>元</w:t>
      </w:r>
      <w:r>
        <w:rPr>
          <w:rFonts w:hint="eastAsia" w:ascii="宋体" w:hAnsi="宋体" w:eastAsia="宋体" w:cs="宋体"/>
          <w:sz w:val="24"/>
          <w:szCs w:val="24"/>
        </w:rPr>
        <w:t>。</w:t>
      </w:r>
    </w:p>
    <w:p>
      <w:pPr>
        <w:snapToGrid w:val="0"/>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（二）投标人资格要求</w:t>
      </w:r>
    </w:p>
    <w:p>
      <w:pPr>
        <w:snapToGrid w:val="0"/>
        <w:spacing w:line="500" w:lineRule="exact"/>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投标人应当具备政府采购法第二十二条第一款规定的条件，并依照政府采购法实施条例第十七条规定提供材料：</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（1）具有独立承担民事责任的能力（具有独立法人资格，本项目在其营业执照经营范围内，提供加盖响应人公章的营业执照复印件）；</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具有良好的商业信誉和健全的财务会计制度</w:t>
      </w:r>
      <w:r>
        <w:rPr>
          <w:rFonts w:hint="eastAsia" w:ascii="宋体" w:hAnsi="宋体" w:eastAsia="宋体" w:cs="宋体"/>
          <w:sz w:val="24"/>
          <w:szCs w:val="24"/>
        </w:rPr>
        <w:t>（提供2017或</w:t>
      </w:r>
      <w:r>
        <w:rPr>
          <w:rFonts w:ascii="宋体" w:hAnsi="宋体" w:eastAsia="宋体" w:cs="宋体"/>
          <w:sz w:val="24"/>
          <w:szCs w:val="24"/>
        </w:rPr>
        <w:t>201</w:t>
      </w:r>
      <w:r>
        <w:rPr>
          <w:rFonts w:hint="eastAsia" w:ascii="宋体" w:hAnsi="宋体" w:eastAsia="宋体" w:cs="宋体"/>
          <w:sz w:val="24"/>
          <w:szCs w:val="24"/>
        </w:rPr>
        <w:t>8</w:t>
      </w:r>
      <w:r>
        <w:rPr>
          <w:rFonts w:ascii="宋体" w:hAnsi="宋体" w:eastAsia="宋体" w:cs="宋体"/>
          <w:sz w:val="24"/>
          <w:szCs w:val="24"/>
        </w:rPr>
        <w:t>年度经审计的财务报告，或</w:t>
      </w:r>
      <w:r>
        <w:rPr>
          <w:rFonts w:hint="eastAsia" w:ascii="宋体" w:hAnsi="宋体" w:eastAsia="宋体" w:cs="宋体"/>
          <w:sz w:val="24"/>
          <w:szCs w:val="24"/>
        </w:rPr>
        <w:t>投标</w:t>
      </w:r>
      <w:r>
        <w:rPr>
          <w:rFonts w:ascii="宋体" w:hAnsi="宋体" w:eastAsia="宋体" w:cs="宋体"/>
          <w:sz w:val="24"/>
          <w:szCs w:val="24"/>
        </w:rPr>
        <w:t>截止时间前六个月银行出具的资信证明，或财政部门认可的政府采购专业担保机构出具的投标担保函）；</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（3）具有</w:t>
      </w:r>
      <w:r>
        <w:rPr>
          <w:rFonts w:ascii="宋体" w:hAnsi="宋体" w:eastAsia="宋体" w:cs="宋体"/>
          <w:sz w:val="24"/>
          <w:szCs w:val="24"/>
        </w:rPr>
        <w:t>履行合同所必需的设备和专业技术能力</w:t>
      </w:r>
      <w:r>
        <w:rPr>
          <w:rFonts w:hint="eastAsia" w:ascii="宋体" w:hAnsi="宋体" w:eastAsia="宋体" w:cs="宋体"/>
          <w:sz w:val="24"/>
          <w:szCs w:val="24"/>
        </w:rPr>
        <w:t>（供应商根据履行采购项目合同需要，提供履行合同所必需的设备和专业技术能力的证明材料</w:t>
      </w:r>
      <w:r>
        <w:rPr>
          <w:rFonts w:hint="eastAsia" w:ascii="宋体" w:hAnsi="宋体" w:eastAsia="宋体" w:cs="宋体"/>
          <w:sz w:val="24"/>
          <w:szCs w:val="24"/>
          <w:lang w:eastAsia="zh-CN"/>
        </w:rPr>
        <w:t>或承诺书</w:t>
      </w:r>
      <w:r>
        <w:rPr>
          <w:rFonts w:hint="eastAsia" w:ascii="宋体" w:hAnsi="宋体" w:eastAsia="宋体" w:cs="宋体"/>
          <w:sz w:val="24"/>
          <w:szCs w:val="24"/>
        </w:rPr>
        <w:t>）</w:t>
      </w:r>
      <w:r>
        <w:rPr>
          <w:rFonts w:ascii="宋体" w:hAnsi="宋体" w:eastAsia="宋体" w:cs="宋体"/>
          <w:sz w:val="24"/>
          <w:szCs w:val="24"/>
        </w:rPr>
        <w:t>；</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有依法缴纳税收和社会保障资金的良好记录</w:t>
      </w:r>
      <w:r>
        <w:rPr>
          <w:rFonts w:hint="eastAsia" w:ascii="宋体" w:hAnsi="宋体" w:eastAsia="宋体" w:cs="宋体"/>
          <w:sz w:val="24"/>
          <w:szCs w:val="24"/>
        </w:rPr>
        <w:t>（提供参加本次政府采购活动前半年内至少一个月缴纳增值税，或营业税，或企业所得税的凭据，或者缴纳社会保险的凭据（专用收据，或社会保险缴纳清单））</w:t>
      </w:r>
      <w:r>
        <w:rPr>
          <w:rFonts w:ascii="宋体" w:hAnsi="宋体" w:eastAsia="宋体" w:cs="宋体"/>
          <w:sz w:val="24"/>
          <w:szCs w:val="24"/>
        </w:rPr>
        <w:t>；</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参加</w:t>
      </w:r>
      <w:r>
        <w:rPr>
          <w:rFonts w:hint="eastAsia" w:ascii="宋体" w:hAnsi="宋体" w:eastAsia="宋体" w:cs="宋体"/>
          <w:sz w:val="24"/>
          <w:szCs w:val="24"/>
        </w:rPr>
        <w:t>本次招标</w:t>
      </w:r>
      <w:r>
        <w:rPr>
          <w:rFonts w:ascii="宋体" w:hAnsi="宋体" w:eastAsia="宋体" w:cs="宋体"/>
          <w:sz w:val="24"/>
          <w:szCs w:val="24"/>
        </w:rPr>
        <w:t>采购活动前三年内，在经营活动中没有重大违法记录</w:t>
      </w:r>
      <w:r>
        <w:rPr>
          <w:rFonts w:hint="eastAsia" w:ascii="宋体" w:hAnsi="宋体" w:eastAsia="宋体" w:cs="宋体"/>
          <w:sz w:val="24"/>
          <w:szCs w:val="24"/>
        </w:rPr>
        <w:t>（提供承诺书）</w:t>
      </w:r>
      <w:r>
        <w:rPr>
          <w:rFonts w:ascii="宋体" w:hAnsi="宋体" w:eastAsia="宋体" w:cs="宋体"/>
          <w:sz w:val="24"/>
          <w:szCs w:val="24"/>
        </w:rPr>
        <w:t>。</w:t>
      </w:r>
    </w:p>
    <w:p>
      <w:pPr>
        <w:snapToGrid w:val="0"/>
        <w:spacing w:line="500" w:lineRule="exact"/>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招标</w:t>
      </w:r>
      <w:r>
        <w:rPr>
          <w:rFonts w:ascii="宋体" w:hAnsi="宋体" w:eastAsia="宋体" w:cs="宋体"/>
          <w:sz w:val="24"/>
          <w:szCs w:val="24"/>
        </w:rPr>
        <w:t>人根据</w:t>
      </w:r>
      <w:r>
        <w:rPr>
          <w:rFonts w:hint="eastAsia" w:ascii="宋体" w:hAnsi="宋体" w:eastAsia="宋体" w:cs="宋体"/>
          <w:sz w:val="24"/>
          <w:szCs w:val="24"/>
        </w:rPr>
        <w:t>招标</w:t>
      </w:r>
      <w:r>
        <w:rPr>
          <w:rFonts w:ascii="宋体" w:hAnsi="宋体" w:eastAsia="宋体" w:cs="宋体"/>
          <w:sz w:val="24"/>
          <w:szCs w:val="24"/>
        </w:rPr>
        <w:t>项目的特殊要求规定的特定条件，并提供符合特殊要求的证明材料或者情况说明：</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（1）具有</w:t>
      </w:r>
      <w:r>
        <w:rPr>
          <w:rFonts w:hint="eastAsia" w:ascii="宋体" w:hAnsi="宋体" w:eastAsia="宋体" w:cs="宋体"/>
          <w:sz w:val="24"/>
          <w:szCs w:val="24"/>
          <w:lang w:eastAsia="zh-CN"/>
        </w:rPr>
        <w:t>电力工程施工总承包三级及以上资质证书或</w:t>
      </w:r>
      <w:r>
        <w:rPr>
          <w:rFonts w:hint="eastAsia" w:ascii="宋体" w:hAnsi="宋体" w:eastAsia="宋体" w:cs="宋体"/>
          <w:sz w:val="24"/>
          <w:szCs w:val="24"/>
        </w:rPr>
        <w:t>输变电工</w:t>
      </w:r>
      <w:r>
        <w:rPr>
          <w:rFonts w:hint="eastAsia" w:ascii="宋体" w:hAnsi="宋体" w:eastAsia="宋体" w:cs="宋体"/>
          <w:sz w:val="24"/>
          <w:szCs w:val="24"/>
          <w:highlight w:val="none"/>
        </w:rPr>
        <w:t>程专业承包三级及以上资</w:t>
      </w:r>
      <w:r>
        <w:rPr>
          <w:rFonts w:hint="eastAsia" w:ascii="宋体" w:hAnsi="宋体" w:eastAsia="宋体" w:cs="宋体"/>
          <w:sz w:val="24"/>
          <w:szCs w:val="24"/>
        </w:rPr>
        <w:t>质证书且同时具备</w:t>
      </w:r>
      <w:r>
        <w:rPr>
          <w:rFonts w:hint="eastAsia" w:ascii="宋体" w:hAnsi="宋体" w:eastAsia="宋体" w:cs="宋体"/>
          <w:b/>
          <w:sz w:val="24"/>
          <w:szCs w:val="24"/>
        </w:rPr>
        <w:t>承装（修、试）电力设施许可</w:t>
      </w:r>
      <w:r>
        <w:rPr>
          <w:rFonts w:hint="eastAsia" w:ascii="宋体" w:hAnsi="宋体" w:eastAsia="宋体" w:cs="宋体"/>
          <w:sz w:val="24"/>
          <w:szCs w:val="24"/>
        </w:rPr>
        <w:t>四级及以上证书，并具有安全生产许可证。（提供加盖响应人公章的资质证书复印件）</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（2）拟派驻本项目的项目经理须具有机电工程专业注册建造师二级及以上资质；需提供项目经理安全生产考核合格证书（B类）；（提供加盖响应人公章的资质证书复印件</w:t>
      </w:r>
      <w:r>
        <w:rPr>
          <w:rFonts w:hint="eastAsia" w:ascii="宋体" w:hAnsi="宋体" w:eastAsia="宋体" w:cs="宋体"/>
          <w:sz w:val="24"/>
          <w:szCs w:val="24"/>
          <w:lang w:eastAsia="zh-CN"/>
        </w:rPr>
        <w:t>及社保缴纳证明</w:t>
      </w:r>
      <w:bookmarkStart w:id="82" w:name="_GoBack"/>
      <w:bookmarkEnd w:id="82"/>
      <w:r>
        <w:rPr>
          <w:rFonts w:hint="eastAsia" w:ascii="宋体" w:hAnsi="宋体" w:eastAsia="宋体" w:cs="宋体"/>
          <w:sz w:val="24"/>
          <w:szCs w:val="24"/>
        </w:rPr>
        <w:t>）</w:t>
      </w:r>
    </w:p>
    <w:p>
      <w:pPr>
        <w:snapToGrid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投标人</w:t>
      </w:r>
      <w:r>
        <w:rPr>
          <w:rFonts w:ascii="宋体" w:hAnsi="宋体" w:eastAsia="宋体" w:cs="宋体"/>
          <w:sz w:val="24"/>
          <w:szCs w:val="24"/>
        </w:rPr>
        <w:t>不得有下列行为</w:t>
      </w:r>
      <w:r>
        <w:rPr>
          <w:rFonts w:hint="eastAsia" w:ascii="宋体" w:hAnsi="宋体" w:eastAsia="宋体" w:cs="宋体"/>
          <w:sz w:val="24"/>
          <w:szCs w:val="24"/>
          <w:lang w:eastAsia="zh-CN"/>
        </w:rPr>
        <w:t>（提供承诺书）</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①有违反法律、法规行为，依法被取消投标资格且期限未满的；</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②因为招投标活动中有违法违规和不良行为，被有关招投标行政监督部门公示且公示期限未满的；</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③处于被责令停业或者财产被接管冻结和破产状态；</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④企业有因骗取中标或者严重违约以及发生重大工程质量、安全生产事故等问题，被有关部门暂停投标资格并在暂停期内的。</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2016年1月1日至今，</w:t>
      </w:r>
      <w:r>
        <w:rPr>
          <w:rFonts w:hint="eastAsia" w:ascii="宋体" w:hAnsi="宋体" w:eastAsia="宋体" w:cs="宋体"/>
          <w:sz w:val="24"/>
          <w:szCs w:val="24"/>
        </w:rPr>
        <w:t>投标人未被“信用中国”网站（</w:t>
      </w:r>
      <w:r>
        <w:rPr>
          <w:rFonts w:ascii="宋体" w:hAnsi="宋体" w:eastAsia="宋体" w:cs="宋体"/>
          <w:sz w:val="24"/>
          <w:szCs w:val="24"/>
        </w:rPr>
        <w:t>http://www.creditchina.gov.cn）列入失信被执行人、重大税收违法案件当事人名单、政府采购严重违法失信行为记录名单内；（提供网站截图）</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、法定代表人为同一个人的两个及两个以上法人，母公司、全资子公司及其控股公司，都不得同时报价，否则取消其报价资格。</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、本项目不接受联合体报名。</w:t>
      </w:r>
    </w:p>
    <w:p>
      <w:pPr>
        <w:snapToGrid w:val="0"/>
        <w:spacing w:line="500" w:lineRule="exact"/>
        <w:ind w:firstLine="482" w:firstLineChars="200"/>
        <w:rPr>
          <w:rFonts w:ascii="宋体" w:hAnsi="宋体" w:eastAsia="宋体"/>
          <w:b/>
          <w:sz w:val="24"/>
          <w:szCs w:val="24"/>
        </w:rPr>
      </w:pPr>
      <w:r>
        <w:rPr>
          <w:rFonts w:hint="eastAsia" w:ascii="宋体" w:hAnsi="宋体" w:eastAsia="宋体" w:cs="宋体"/>
          <w:b/>
          <w:sz w:val="24"/>
          <w:szCs w:val="24"/>
        </w:rPr>
        <w:t>（三）</w:t>
      </w:r>
      <w:r>
        <w:rPr>
          <w:rFonts w:hint="eastAsia" w:ascii="宋体" w:hAnsi="宋体" w:eastAsia="宋体"/>
          <w:b/>
          <w:sz w:val="24"/>
          <w:szCs w:val="24"/>
        </w:rPr>
        <w:t>投标费用</w:t>
      </w:r>
      <w:bookmarkEnd w:id="7"/>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z w:val="24"/>
          <w:szCs w:val="24"/>
        </w:rPr>
        <w:t>投标人应承担其编制投标文件与递交投标文件所涉及的一切费用。不管投标结果如何，招标人对上述费用不负任何责任。</w:t>
      </w:r>
    </w:p>
    <w:p>
      <w:pPr>
        <w:adjustRightInd w:val="0"/>
        <w:snapToGrid w:val="0"/>
        <w:spacing w:line="500" w:lineRule="exact"/>
        <w:ind w:firstLine="482" w:firstLineChars="200"/>
        <w:rPr>
          <w:rFonts w:ascii="宋体" w:hAnsi="宋体" w:eastAsia="宋体"/>
          <w:b/>
          <w:sz w:val="24"/>
          <w:szCs w:val="24"/>
        </w:rPr>
      </w:pPr>
      <w:bookmarkStart w:id="8" w:name="_Toc329097724"/>
      <w:r>
        <w:rPr>
          <w:rFonts w:hint="eastAsia" w:ascii="宋体" w:hAnsi="宋体" w:eastAsia="宋体"/>
          <w:b/>
          <w:sz w:val="24"/>
          <w:szCs w:val="24"/>
        </w:rPr>
        <w:t>（四）在招标过程中，出现下列情况之一的，应予重新招标：</w:t>
      </w:r>
      <w:bookmarkEnd w:id="8"/>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、提交投标文件的投标人少于三家；</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、投标人的报价均超过了招标预算，招标人不能支付的；</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、所有投标被否决的。</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2）如改用单一来源采购方式的：在保证采购项目质量和双方商定合理价格的基础上进行采购。</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投标</w:t>
      </w:r>
      <w:r>
        <w:rPr>
          <w:rFonts w:ascii="宋体" w:hAnsi="宋体" w:eastAsia="宋体"/>
          <w:sz w:val="24"/>
          <w:szCs w:val="24"/>
        </w:rPr>
        <w:t>人若不接受采购方式的改变，应在规定的时间内书面向</w:t>
      </w:r>
      <w:r>
        <w:rPr>
          <w:rFonts w:hint="eastAsia" w:ascii="宋体" w:hAnsi="宋体" w:eastAsia="宋体"/>
          <w:sz w:val="24"/>
          <w:szCs w:val="24"/>
        </w:rPr>
        <w:t>评标委员会</w:t>
      </w:r>
      <w:r>
        <w:rPr>
          <w:rFonts w:ascii="宋体" w:hAnsi="宋体" w:eastAsia="宋体"/>
          <w:sz w:val="24"/>
          <w:szCs w:val="24"/>
        </w:rPr>
        <w:t>说明，未在规定时间内提交书面说明的视为接受采购方式的改变。</w:t>
      </w:r>
    </w:p>
    <w:p>
      <w:pPr>
        <w:pStyle w:val="4"/>
        <w:spacing w:before="360" w:after="120" w:line="360" w:lineRule="auto"/>
        <w:rPr>
          <w:rFonts w:ascii="宋体" w:hAnsi="宋体" w:eastAsia="宋体"/>
          <w:snapToGrid w:val="0"/>
          <w:sz w:val="28"/>
          <w:szCs w:val="28"/>
        </w:rPr>
      </w:pPr>
      <w:bookmarkStart w:id="9" w:name="_Toc4462"/>
      <w:bookmarkStart w:id="10" w:name="_Toc329097726"/>
      <w:r>
        <w:rPr>
          <w:rFonts w:hint="eastAsia" w:ascii="宋体" w:hAnsi="宋体" w:eastAsia="宋体"/>
          <w:snapToGrid w:val="0"/>
          <w:sz w:val="28"/>
          <w:szCs w:val="28"/>
        </w:rPr>
        <w:t>二、招标文件</w:t>
      </w:r>
      <w:bookmarkEnd w:id="9"/>
      <w:bookmarkEnd w:id="10"/>
    </w:p>
    <w:p>
      <w:pPr>
        <w:adjustRightInd w:val="0"/>
        <w:snapToGrid w:val="0"/>
        <w:spacing w:line="500" w:lineRule="exact"/>
        <w:ind w:firstLine="482" w:firstLineChars="200"/>
        <w:jc w:val="both"/>
        <w:rPr>
          <w:rFonts w:ascii="宋体" w:hAnsi="宋体" w:eastAsia="宋体"/>
          <w:b/>
          <w:sz w:val="24"/>
          <w:szCs w:val="24"/>
        </w:rPr>
      </w:pPr>
      <w:bookmarkStart w:id="11" w:name="_Toc329097727"/>
      <w:r>
        <w:rPr>
          <w:rFonts w:hint="eastAsia" w:ascii="宋体" w:hAnsi="宋体" w:eastAsia="宋体"/>
          <w:b/>
          <w:sz w:val="24"/>
          <w:szCs w:val="24"/>
        </w:rPr>
        <w:t>（五）招标文件的组成</w:t>
      </w:r>
      <w:bookmarkEnd w:id="11"/>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、招标文件包括本文件及所有按第（六）条发出的修改澄清通知。</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、投标人应认真审阅招标文件所有的内容，如果投标人的投标文件不能实质性地响应招标文件要求，责任由投标人自负。</w:t>
      </w:r>
    </w:p>
    <w:p>
      <w:pPr>
        <w:adjustRightInd w:val="0"/>
        <w:snapToGrid w:val="0"/>
        <w:spacing w:line="500" w:lineRule="exact"/>
        <w:ind w:firstLine="482" w:firstLineChars="200"/>
        <w:jc w:val="both"/>
        <w:rPr>
          <w:rFonts w:ascii="宋体" w:hAnsi="宋体" w:eastAsia="宋体"/>
          <w:b/>
          <w:sz w:val="24"/>
          <w:szCs w:val="24"/>
        </w:rPr>
      </w:pPr>
      <w:bookmarkStart w:id="12" w:name="_Toc329097728"/>
      <w:r>
        <w:rPr>
          <w:rFonts w:hint="eastAsia" w:ascii="宋体" w:hAnsi="宋体" w:eastAsia="宋体"/>
          <w:b/>
          <w:sz w:val="24"/>
          <w:szCs w:val="24"/>
        </w:rPr>
        <w:t>（六）招标文件的澄清</w:t>
      </w:r>
      <w:bookmarkEnd w:id="12"/>
    </w:p>
    <w:p>
      <w:pPr>
        <w:tabs>
          <w:tab w:val="left" w:pos="1100"/>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1</w:t>
      </w:r>
      <w:r>
        <w:rPr>
          <w:rFonts w:hint="eastAsia" w:ascii="宋体" w:hAnsi="宋体" w:eastAsia="宋体"/>
          <w:snapToGrid w:val="0"/>
          <w:sz w:val="24"/>
          <w:szCs w:val="24"/>
        </w:rPr>
        <w:t>、投标人在收到招标文件和踏勘现场后，若有疑问需要澄清，应于收到招标文件后</w:t>
      </w:r>
      <w:r>
        <w:rPr>
          <w:rFonts w:ascii="宋体" w:hAnsi="宋体" w:eastAsia="宋体"/>
          <w:snapToGrid w:val="0"/>
          <w:sz w:val="24"/>
          <w:szCs w:val="24"/>
          <w:u w:val="single"/>
        </w:rPr>
        <w:t xml:space="preserve"> </w:t>
      </w:r>
      <w:r>
        <w:rPr>
          <w:rFonts w:hint="eastAsia" w:ascii="宋体" w:hAnsi="宋体" w:eastAsia="宋体"/>
          <w:snapToGrid w:val="0"/>
          <w:sz w:val="24"/>
          <w:szCs w:val="24"/>
          <w:u w:val="single"/>
        </w:rPr>
        <w:t>2</w:t>
      </w:r>
      <w:r>
        <w:rPr>
          <w:rFonts w:ascii="宋体" w:hAnsi="宋体" w:eastAsia="宋体"/>
          <w:snapToGrid w:val="0"/>
          <w:sz w:val="24"/>
          <w:szCs w:val="24"/>
          <w:u w:val="single"/>
        </w:rPr>
        <w:t xml:space="preserve"> </w:t>
      </w:r>
      <w:r>
        <w:rPr>
          <w:rFonts w:hint="eastAsia" w:ascii="宋体" w:hAnsi="宋体" w:eastAsia="宋体"/>
          <w:snapToGrid w:val="0"/>
          <w:sz w:val="24"/>
          <w:szCs w:val="24"/>
        </w:rPr>
        <w:t>日内以书面形式（包括书面文字、传真等）向招标人提出，招标人将以书面形式予以解答。</w:t>
      </w:r>
    </w:p>
    <w:p>
      <w:pPr>
        <w:tabs>
          <w:tab w:val="left" w:pos="1100"/>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2</w:t>
      </w:r>
      <w:r>
        <w:rPr>
          <w:rFonts w:hint="eastAsia" w:ascii="宋体" w:hAnsi="宋体" w:eastAsia="宋体"/>
          <w:snapToGrid w:val="0"/>
          <w:sz w:val="24"/>
          <w:szCs w:val="24"/>
        </w:rPr>
        <w:t>、所有问题的解答，将在</w:t>
      </w:r>
      <w:r>
        <w:rPr>
          <w:rFonts w:hint="eastAsia" w:ascii="宋体" w:hAnsi="宋体" w:eastAsia="宋体"/>
          <w:snapToGrid w:val="0"/>
          <w:sz w:val="24"/>
          <w:szCs w:val="24"/>
          <w:u w:val="single"/>
        </w:rPr>
        <w:t>1</w:t>
      </w:r>
      <w:r>
        <w:rPr>
          <w:rFonts w:hint="eastAsia" w:ascii="宋体" w:hAnsi="宋体" w:eastAsia="宋体"/>
          <w:snapToGrid w:val="0"/>
          <w:sz w:val="24"/>
          <w:szCs w:val="24"/>
        </w:rPr>
        <w:t>日内提供所有投标人。由此而产生的对招标文件内容的修改，以修改通知的方式发出。</w:t>
      </w:r>
    </w:p>
    <w:p>
      <w:pPr>
        <w:adjustRightInd w:val="0"/>
        <w:snapToGrid w:val="0"/>
        <w:spacing w:line="500" w:lineRule="exact"/>
        <w:ind w:firstLine="482" w:firstLineChars="200"/>
        <w:jc w:val="both"/>
        <w:rPr>
          <w:rFonts w:ascii="宋体" w:hAnsi="宋体" w:eastAsia="宋体"/>
          <w:b/>
          <w:sz w:val="24"/>
          <w:szCs w:val="24"/>
        </w:rPr>
      </w:pPr>
      <w:bookmarkStart w:id="13" w:name="_Toc329097729"/>
      <w:r>
        <w:rPr>
          <w:rFonts w:hint="eastAsia" w:ascii="宋体" w:hAnsi="宋体" w:eastAsia="宋体"/>
          <w:b/>
          <w:sz w:val="24"/>
          <w:szCs w:val="24"/>
        </w:rPr>
        <w:t>（七）招标文件的修改</w:t>
      </w:r>
      <w:bookmarkEnd w:id="13"/>
    </w:p>
    <w:p>
      <w:pPr>
        <w:tabs>
          <w:tab w:val="left" w:pos="1100"/>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1</w:t>
      </w:r>
      <w:r>
        <w:rPr>
          <w:rFonts w:hint="eastAsia" w:ascii="宋体" w:hAnsi="宋体" w:eastAsia="宋体"/>
          <w:snapToGrid w:val="0"/>
          <w:sz w:val="24"/>
          <w:szCs w:val="24"/>
        </w:rPr>
        <w:t>、在投标截止日期前，招标人都可能会以书面通知的方式修改招标文件。修改通知作为招标文件的组成部分，对投标人起同等约束作用。</w:t>
      </w:r>
    </w:p>
    <w:p>
      <w:pPr>
        <w:tabs>
          <w:tab w:val="left" w:pos="1100"/>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2</w:t>
      </w:r>
      <w:r>
        <w:rPr>
          <w:rFonts w:hint="eastAsia" w:ascii="宋体" w:hAnsi="宋体" w:eastAsia="宋体"/>
          <w:snapToGrid w:val="0"/>
          <w:sz w:val="24"/>
          <w:szCs w:val="24"/>
        </w:rPr>
        <w:t>、为使投标人在编制投标文件时把修改通知内容考虑进去，招标人可以酌情延长递交投标文件的截止日期。具体时间将在修改通知中写明。</w:t>
      </w:r>
    </w:p>
    <w:p>
      <w:pPr>
        <w:tabs>
          <w:tab w:val="left" w:pos="1100"/>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3</w:t>
      </w:r>
      <w:r>
        <w:rPr>
          <w:rFonts w:hint="eastAsia" w:ascii="宋体" w:hAnsi="宋体" w:eastAsia="宋体"/>
          <w:snapToGrid w:val="0"/>
          <w:sz w:val="24"/>
          <w:szCs w:val="24"/>
        </w:rPr>
        <w:t>、招标文件、修改通知内容相互矛盾时，以最后发出的通知为准。</w:t>
      </w:r>
    </w:p>
    <w:p>
      <w:pPr>
        <w:pStyle w:val="4"/>
        <w:spacing w:before="360" w:after="120" w:line="360" w:lineRule="auto"/>
        <w:rPr>
          <w:rFonts w:ascii="宋体" w:hAnsi="宋体" w:eastAsia="宋体"/>
          <w:snapToGrid w:val="0"/>
          <w:sz w:val="28"/>
          <w:szCs w:val="28"/>
        </w:rPr>
      </w:pPr>
      <w:bookmarkStart w:id="14" w:name="_Toc8976"/>
      <w:bookmarkStart w:id="15" w:name="_Toc329097730"/>
      <w:r>
        <w:rPr>
          <w:rFonts w:hint="eastAsia" w:ascii="宋体" w:hAnsi="宋体" w:eastAsia="宋体"/>
          <w:snapToGrid w:val="0"/>
          <w:sz w:val="28"/>
          <w:szCs w:val="28"/>
        </w:rPr>
        <w:t>三、投标报价</w:t>
      </w:r>
      <w:bookmarkEnd w:id="14"/>
      <w:bookmarkEnd w:id="15"/>
    </w:p>
    <w:p>
      <w:pPr>
        <w:adjustRightInd w:val="0"/>
        <w:snapToGrid w:val="0"/>
        <w:spacing w:line="500" w:lineRule="exact"/>
        <w:ind w:firstLine="482" w:firstLineChars="200"/>
        <w:jc w:val="both"/>
        <w:rPr>
          <w:rFonts w:ascii="宋体" w:hAnsi="宋体" w:eastAsia="宋体"/>
          <w:b/>
          <w:sz w:val="24"/>
          <w:szCs w:val="24"/>
        </w:rPr>
      </w:pPr>
      <w:bookmarkStart w:id="16" w:name="_Toc329097731"/>
      <w:r>
        <w:rPr>
          <w:rFonts w:hint="eastAsia" w:ascii="宋体" w:hAnsi="宋体" w:eastAsia="宋体"/>
          <w:b/>
          <w:sz w:val="24"/>
          <w:szCs w:val="24"/>
        </w:rPr>
        <w:t>（八）投标报价</w:t>
      </w:r>
      <w:bookmarkEnd w:id="16"/>
    </w:p>
    <w:p>
      <w:pPr>
        <w:tabs>
          <w:tab w:val="left" w:pos="0"/>
          <w:tab w:val="left" w:pos="1134"/>
        </w:tabs>
        <w:adjustRightInd w:val="0"/>
        <w:snapToGrid w:val="0"/>
        <w:spacing w:line="500" w:lineRule="exact"/>
        <w:ind w:firstLine="480" w:firstLineChars="200"/>
        <w:jc w:val="both"/>
        <w:rPr>
          <w:rFonts w:ascii="宋体" w:hAnsi="宋体" w:eastAsia="宋体"/>
          <w:snapToGrid w:val="0"/>
          <w:spacing w:val="-8"/>
          <w:sz w:val="24"/>
          <w:szCs w:val="24"/>
        </w:rPr>
      </w:pPr>
      <w:r>
        <w:rPr>
          <w:rFonts w:ascii="宋体" w:hAnsi="宋体" w:eastAsia="宋体"/>
          <w:snapToGrid w:val="0"/>
          <w:sz w:val="24"/>
          <w:szCs w:val="24"/>
        </w:rPr>
        <w:t>1</w:t>
      </w:r>
      <w:r>
        <w:rPr>
          <w:rFonts w:hint="eastAsia" w:ascii="宋体" w:hAnsi="宋体" w:eastAsia="宋体"/>
          <w:snapToGrid w:val="0"/>
          <w:sz w:val="24"/>
          <w:szCs w:val="24"/>
        </w:rPr>
        <w:t>、</w:t>
      </w:r>
      <w:r>
        <w:rPr>
          <w:rFonts w:hint="eastAsia" w:ascii="宋体" w:hAnsi="宋体" w:eastAsia="宋体"/>
          <w:snapToGrid w:val="0"/>
          <w:spacing w:val="-8"/>
          <w:sz w:val="24"/>
          <w:szCs w:val="24"/>
        </w:rPr>
        <w:t>投标报价应是招标文件所确定的招标范围、内容中的全部工作内容的价格体现。其应包括施工设备、劳务、管理、材料、安装、维护、利润、环保、税金及政策性文件规定的、保证工期、质量、文明施工等各项应有费用。还须包括本工程所需材料和工程实体的检测检验费等全部费用。</w:t>
      </w:r>
    </w:p>
    <w:p>
      <w:pPr>
        <w:tabs>
          <w:tab w:val="left" w:pos="0"/>
          <w:tab w:val="left" w:pos="1134"/>
        </w:tabs>
        <w:adjustRightInd w:val="0"/>
        <w:snapToGrid w:val="0"/>
        <w:spacing w:line="500" w:lineRule="exact"/>
        <w:ind w:firstLine="448" w:firstLineChars="200"/>
        <w:jc w:val="both"/>
        <w:rPr>
          <w:rFonts w:ascii="宋体" w:hAnsi="宋体" w:eastAsia="宋体"/>
          <w:snapToGrid w:val="0"/>
          <w:spacing w:val="-8"/>
          <w:sz w:val="24"/>
          <w:szCs w:val="24"/>
        </w:rPr>
      </w:pPr>
      <w:r>
        <w:rPr>
          <w:rFonts w:hint="eastAsia" w:ascii="宋体" w:hAnsi="宋体" w:eastAsia="宋体"/>
          <w:snapToGrid w:val="0"/>
          <w:spacing w:val="-8"/>
          <w:sz w:val="24"/>
          <w:szCs w:val="24"/>
        </w:rPr>
        <w:t>2、投标人在报价时应充分考虑施工期间各类建材的市场风险和政策性调整确定风险系数计入总报价，今后不作调整。设计变更和招标人要求变动的内容除外。</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3、可选用的工程预算、费用定额和政策性文件</w:t>
      </w:r>
    </w:p>
    <w:p>
      <w:pPr>
        <w:tabs>
          <w:tab w:val="left" w:pos="0"/>
          <w:tab w:val="left" w:pos="1134"/>
        </w:tabs>
        <w:adjustRightInd w:val="0"/>
        <w:snapToGrid w:val="0"/>
        <w:spacing w:line="500" w:lineRule="exact"/>
        <w:ind w:firstLine="720" w:firstLineChars="300"/>
        <w:jc w:val="both"/>
        <w:rPr>
          <w:rFonts w:ascii="宋体" w:hAnsi="宋体" w:eastAsia="宋体"/>
          <w:snapToGrid w:val="0"/>
          <w:sz w:val="24"/>
          <w:szCs w:val="24"/>
        </w:rPr>
      </w:pPr>
      <w:r>
        <w:rPr>
          <w:rFonts w:ascii="宋体" w:hAnsi="宋体" w:eastAsia="宋体"/>
          <w:snapToGrid w:val="0"/>
          <w:sz w:val="24"/>
          <w:szCs w:val="24"/>
        </w:rPr>
        <w:t>1、《建设工程工程量清单计价规范》（GB50500-2013）；</w:t>
      </w:r>
    </w:p>
    <w:p>
      <w:pPr>
        <w:tabs>
          <w:tab w:val="left" w:pos="0"/>
          <w:tab w:val="left" w:pos="1134"/>
        </w:tabs>
        <w:adjustRightInd w:val="0"/>
        <w:snapToGrid w:val="0"/>
        <w:spacing w:line="500" w:lineRule="exact"/>
        <w:ind w:firstLine="720" w:firstLineChars="300"/>
        <w:jc w:val="both"/>
        <w:rPr>
          <w:rFonts w:ascii="宋体" w:hAnsi="宋体" w:eastAsia="宋体"/>
          <w:snapToGrid w:val="0"/>
          <w:sz w:val="24"/>
          <w:szCs w:val="24"/>
        </w:rPr>
      </w:pPr>
      <w:r>
        <w:rPr>
          <w:rFonts w:ascii="宋体" w:hAnsi="宋体" w:eastAsia="宋体"/>
          <w:snapToGrid w:val="0"/>
          <w:sz w:val="24"/>
          <w:szCs w:val="24"/>
        </w:rPr>
        <w:t>2、2014年《江苏省建筑与装饰工程计价表》、《江苏省市政工程计价表》、《江苏省安装工程计价表》、《江苏省建设工程费用定额》（2014年）、2009《修缮建筑工程定额》等；</w:t>
      </w:r>
    </w:p>
    <w:p>
      <w:pPr>
        <w:tabs>
          <w:tab w:val="left" w:pos="0"/>
          <w:tab w:val="left" w:pos="1134"/>
        </w:tabs>
        <w:adjustRightInd w:val="0"/>
        <w:snapToGrid w:val="0"/>
        <w:spacing w:line="500" w:lineRule="exact"/>
        <w:ind w:firstLine="720" w:firstLineChars="300"/>
        <w:jc w:val="both"/>
        <w:rPr>
          <w:rFonts w:ascii="宋体" w:hAnsi="宋体" w:eastAsia="宋体"/>
          <w:snapToGrid w:val="0"/>
          <w:sz w:val="24"/>
          <w:szCs w:val="24"/>
        </w:rPr>
      </w:pPr>
      <w:r>
        <w:rPr>
          <w:rFonts w:ascii="宋体" w:hAnsi="宋体" w:eastAsia="宋体"/>
          <w:snapToGrid w:val="0"/>
          <w:sz w:val="24"/>
          <w:szCs w:val="24"/>
        </w:rPr>
        <w:t>3、江苏省、南京市关于工程造价的相关文件及规定；</w:t>
      </w:r>
    </w:p>
    <w:p>
      <w:pPr>
        <w:tabs>
          <w:tab w:val="left" w:pos="0"/>
          <w:tab w:val="left" w:pos="1134"/>
        </w:tabs>
        <w:adjustRightInd w:val="0"/>
        <w:snapToGrid w:val="0"/>
        <w:spacing w:line="500" w:lineRule="exact"/>
        <w:ind w:firstLine="720" w:firstLineChars="300"/>
        <w:jc w:val="both"/>
        <w:rPr>
          <w:rFonts w:ascii="宋体" w:hAnsi="宋体" w:eastAsia="宋体"/>
          <w:snapToGrid w:val="0"/>
          <w:sz w:val="24"/>
          <w:szCs w:val="24"/>
        </w:rPr>
      </w:pPr>
      <w:r>
        <w:rPr>
          <w:rFonts w:ascii="宋体" w:hAnsi="宋体" w:eastAsia="宋体"/>
          <w:snapToGrid w:val="0"/>
          <w:sz w:val="24"/>
          <w:szCs w:val="24"/>
        </w:rPr>
        <w:t>4、工程量清单应与招标文件结合起来查阅与理解，工程量清单中所描述的项目特征仅为招标人对该分部分项工程特征的概述，而非是工程特征的全面描述，计价时必须按相关的国家规范的要求综合报价。</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4、投标报价编制要求</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1）本项目采用工程量清单计价，固定综合单价的方式，综合单价应按照提供的综合单价分析表注明详细的单价组成。工程变更或签证按合同约定的结算方式计价。投标人报价中的综合单价，不论对其项目特征是否描述完全，都将被认为已包括为完成《计价规范》中对应项目编码和项目名称的项目所应作的所有工作内容。除非合同条款中另有规定，投标人所报的综合单价（包括人工单价、乙供材料及设备单价、机械台班单价、管理费、利润、规费、税金及应承担的市场风险）在合同实施期间不因价格变动而调整。</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2）报价应按《建设工程工程量清单计价规范》规定的统一格式填写，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如工程量清单项目特征描述不清楚的，需结合现场实际情况进行投标报价。如工程量清单存在缺漏项，投标人未在答疑阶段提出的，视为投标优惠或含在其他项目中。</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3）投标人自行到施工现场踏勘以充分了解工地位置、环境、道路、储存空间、装卸限制及任何其他足以影响报价之情况。投标人任何因忽视或误解工地情况而导致的成本增加或工期延长等申请一律不予认可。</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4）施工组织设计中采用的技术措施须满足国家现行规范、规程及技术要求。</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5）投标人的投标报价应为工程施工所需的显在和隐含的一切费用，因而投标人应根据招标人提供的工程量清单仔细计算并自行考虑风险系数进行投标报价。如工程量清单项目特征描述不清楚的，需结合现场实际情况进行投标报价。如工程量清单存在缺漏项，投标人未在答疑阶段提出的，视为投标优惠或含在其他项目中。</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6）本工程措施费项目结算时不做调整，投标文件中未列的项目视为投标优惠或含在其他项目中。</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7）结算时不做调整的工程措施费不含招标清单以外增加的施工内容及施工区域，招标清单以外增加的施工内容及施工区域措施费的记取参照投标报价执行。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8）投标人在编制投标报价时应充分考虑各种因素、市场风险、施工期间政策性调整及招标范围内的明示的、潜在的一切风险因素，结算时只考虑工程变更、签证及招标工程量清单误差而导致的清单子目工程量增减的调整，单价和优惠费率按投标时所报的单价和优惠费率。</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9）投标人应充分踏勘现场，措施费还应包括现场生活垃圾、临时道路拆除、施工拆除垃圾所产生的垃圾清运以及由此而产生的所有费用，措施费不做调整，投标文件中未列的项目视为投标优惠。</w:t>
      </w:r>
    </w:p>
    <w:p>
      <w:pPr>
        <w:tabs>
          <w:tab w:val="left" w:pos="0"/>
          <w:tab w:val="left" w:pos="1134"/>
        </w:tabs>
        <w:adjustRightInd w:val="0"/>
        <w:snapToGrid w:val="0"/>
        <w:spacing w:line="500" w:lineRule="exact"/>
        <w:ind w:firstLine="480" w:firstLineChars="200"/>
        <w:jc w:val="both"/>
        <w:rPr>
          <w:rFonts w:hint="eastAsia"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10）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pPr>
        <w:pStyle w:val="4"/>
        <w:spacing w:before="360" w:after="120" w:line="360" w:lineRule="auto"/>
        <w:rPr>
          <w:rFonts w:ascii="宋体" w:hAnsi="宋体" w:eastAsia="宋体"/>
          <w:snapToGrid w:val="0"/>
          <w:sz w:val="28"/>
          <w:szCs w:val="28"/>
        </w:rPr>
      </w:pPr>
      <w:bookmarkStart w:id="17" w:name="_Toc329097732"/>
      <w:bookmarkStart w:id="18" w:name="_Toc11364"/>
      <w:r>
        <w:rPr>
          <w:rFonts w:hint="eastAsia" w:ascii="宋体" w:hAnsi="宋体" w:eastAsia="宋体"/>
          <w:snapToGrid w:val="0"/>
          <w:sz w:val="28"/>
          <w:szCs w:val="28"/>
        </w:rPr>
        <w:t>四、投标文件的编制</w:t>
      </w:r>
      <w:bookmarkEnd w:id="17"/>
      <w:bookmarkEnd w:id="18"/>
    </w:p>
    <w:p>
      <w:pPr>
        <w:adjustRightInd w:val="0"/>
        <w:snapToGrid w:val="0"/>
        <w:spacing w:line="500" w:lineRule="exact"/>
        <w:ind w:firstLine="482" w:firstLineChars="200"/>
        <w:jc w:val="both"/>
        <w:rPr>
          <w:rFonts w:ascii="宋体" w:hAnsi="宋体" w:eastAsia="宋体"/>
          <w:b/>
          <w:sz w:val="24"/>
          <w:szCs w:val="24"/>
        </w:rPr>
      </w:pPr>
      <w:bookmarkStart w:id="19" w:name="_Toc329097733"/>
      <w:r>
        <w:rPr>
          <w:rFonts w:hint="eastAsia" w:ascii="宋体" w:hAnsi="宋体" w:eastAsia="宋体"/>
          <w:b/>
          <w:sz w:val="24"/>
          <w:szCs w:val="24"/>
        </w:rPr>
        <w:t>（九）投标文件的组成</w:t>
      </w:r>
      <w:bookmarkEnd w:id="19"/>
    </w:p>
    <w:p>
      <w:pPr>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napToGrid w:val="0"/>
          <w:sz w:val="24"/>
          <w:szCs w:val="24"/>
        </w:rPr>
        <w:t>1、 投标人应当按照招标文件要求编制投标文件，投标文件应对招标文件提出的实质性要求和条件做出响应。</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2、投标人的投标文件应包括下列内容：</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（1）投标函</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（2）法定代表人资格证明书</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（3）授权委托书</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（4）投标报价（包括报价汇总表，工程量清单报价表。）</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（5）辅助资料（第六章中表5.1——表5.3）</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（6）资格审查资料</w:t>
      </w:r>
    </w:p>
    <w:p>
      <w:pPr>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（7）其他资料（如各种奖励证书等）</w:t>
      </w:r>
    </w:p>
    <w:p>
      <w:pPr>
        <w:adjustRightInd w:val="0"/>
        <w:snapToGrid w:val="0"/>
        <w:spacing w:line="500" w:lineRule="exact"/>
        <w:ind w:firstLine="482" w:firstLineChars="200"/>
        <w:jc w:val="both"/>
        <w:rPr>
          <w:rFonts w:ascii="宋体" w:hAnsi="宋体" w:eastAsia="宋体"/>
          <w:b/>
          <w:sz w:val="24"/>
          <w:szCs w:val="24"/>
        </w:rPr>
      </w:pPr>
      <w:bookmarkStart w:id="20" w:name="_Toc329097734"/>
      <w:r>
        <w:rPr>
          <w:rFonts w:hint="eastAsia" w:ascii="宋体" w:hAnsi="宋体" w:eastAsia="宋体"/>
          <w:b/>
          <w:sz w:val="24"/>
          <w:szCs w:val="24"/>
        </w:rPr>
        <w:t>（十）</w:t>
      </w:r>
      <w:bookmarkEnd w:id="20"/>
      <w:bookmarkStart w:id="21" w:name="_Toc329097735"/>
      <w:r>
        <w:rPr>
          <w:rFonts w:hint="eastAsia" w:ascii="宋体" w:hAnsi="宋体" w:eastAsia="宋体"/>
          <w:b/>
          <w:sz w:val="24"/>
          <w:szCs w:val="24"/>
        </w:rPr>
        <w:t>勘察现场</w:t>
      </w:r>
      <w:bookmarkEnd w:id="21"/>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、投标人应对现场和周围环境进行勘察，以获取编制投标文件和签署合同所需的所有资料。勘察现场所发生的费用由投标人承担。</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、招标人向投标人提供的有关的资料和数据是招标人现有的能使投标人利用的资料。招标人对投标人由此而做出的推论、理解和结论概不负责。</w:t>
      </w:r>
    </w:p>
    <w:p>
      <w:pPr>
        <w:adjustRightInd w:val="0"/>
        <w:snapToGrid w:val="0"/>
        <w:spacing w:line="500" w:lineRule="exact"/>
        <w:ind w:firstLine="482" w:firstLineChars="200"/>
        <w:jc w:val="both"/>
        <w:rPr>
          <w:rFonts w:ascii="宋体" w:hAnsi="宋体" w:eastAsia="宋体"/>
          <w:b/>
          <w:sz w:val="24"/>
          <w:szCs w:val="24"/>
        </w:rPr>
      </w:pPr>
      <w:bookmarkStart w:id="22" w:name="_Toc329097736"/>
      <w:r>
        <w:rPr>
          <w:rFonts w:hint="eastAsia" w:ascii="宋体" w:hAnsi="宋体" w:eastAsia="宋体"/>
          <w:b/>
          <w:sz w:val="24"/>
          <w:szCs w:val="24"/>
        </w:rPr>
        <w:t>（十一）投标文件的份数和签署</w:t>
      </w:r>
      <w:bookmarkEnd w:id="22"/>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bookmarkStart w:id="23" w:name="_Toc329097737"/>
      <w:r>
        <w:rPr>
          <w:rFonts w:ascii="宋体" w:hAnsi="宋体" w:eastAsia="宋体"/>
          <w:sz w:val="24"/>
          <w:szCs w:val="24"/>
        </w:rPr>
        <w:t>1、投标人应提供投标文件（含资格审查资料）正本一份、副本</w:t>
      </w:r>
      <w:r>
        <w:rPr>
          <w:rFonts w:hint="eastAsia" w:ascii="宋体" w:hAnsi="宋体" w:eastAsia="宋体"/>
          <w:sz w:val="24"/>
          <w:szCs w:val="24"/>
        </w:rPr>
        <w:t>二</w:t>
      </w:r>
      <w:r>
        <w:rPr>
          <w:rFonts w:ascii="宋体" w:hAnsi="宋体" w:eastAsia="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2、投标文件正本与副本均应使用不能擦去的墨水书写或打印，按具体要求由投标人加盖公章和法定代表人或法定代表人委托的代理人印鉴或签字。</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3、全套投标文件应无涂改和行间插字，除非这些删改是根据招标人的指示进行的，或者是投标人造成的必须修改的错误。修改处应由投标文件签署人加盖印鉴。</w:t>
      </w:r>
    </w:p>
    <w:p>
      <w:pPr>
        <w:pStyle w:val="4"/>
        <w:spacing w:before="360" w:after="120" w:line="360" w:lineRule="auto"/>
        <w:rPr>
          <w:rFonts w:ascii="宋体" w:hAnsi="宋体" w:eastAsia="宋体"/>
          <w:snapToGrid w:val="0"/>
          <w:sz w:val="28"/>
          <w:szCs w:val="28"/>
        </w:rPr>
      </w:pPr>
      <w:bookmarkStart w:id="24" w:name="_Toc19818"/>
      <w:r>
        <w:rPr>
          <w:rFonts w:hint="eastAsia" w:ascii="宋体" w:hAnsi="宋体" w:eastAsia="宋体"/>
          <w:snapToGrid w:val="0"/>
          <w:sz w:val="28"/>
          <w:szCs w:val="28"/>
        </w:rPr>
        <w:t>五、投标文件的递交</w:t>
      </w:r>
      <w:bookmarkEnd w:id="23"/>
      <w:bookmarkEnd w:id="24"/>
    </w:p>
    <w:p>
      <w:pPr>
        <w:adjustRightInd w:val="0"/>
        <w:snapToGrid w:val="0"/>
        <w:spacing w:line="500" w:lineRule="exact"/>
        <w:ind w:firstLine="482" w:firstLineChars="200"/>
        <w:jc w:val="both"/>
        <w:rPr>
          <w:rFonts w:ascii="宋体" w:hAnsi="宋体" w:eastAsia="宋体"/>
          <w:b/>
          <w:sz w:val="24"/>
          <w:szCs w:val="24"/>
        </w:rPr>
      </w:pPr>
      <w:bookmarkStart w:id="25" w:name="_Toc329097738"/>
      <w:r>
        <w:rPr>
          <w:rFonts w:hint="eastAsia" w:ascii="宋体" w:hAnsi="宋体" w:eastAsia="宋体"/>
          <w:b/>
          <w:sz w:val="24"/>
          <w:szCs w:val="24"/>
        </w:rPr>
        <w:t>（十二）投标文件的密封与标志</w:t>
      </w:r>
      <w:bookmarkEnd w:id="25"/>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bookmarkStart w:id="26" w:name="_Toc329097739"/>
      <w:r>
        <w:rPr>
          <w:rFonts w:ascii="宋体" w:hAnsi="宋体" w:eastAsia="宋体"/>
          <w:sz w:val="24"/>
          <w:szCs w:val="24"/>
        </w:rPr>
        <w:t>1</w:t>
      </w:r>
      <w:r>
        <w:rPr>
          <w:rFonts w:hint="eastAsia" w:ascii="宋体" w:hAnsi="宋体" w:eastAsia="宋体"/>
          <w:sz w:val="24"/>
          <w:szCs w:val="24"/>
        </w:rPr>
        <w:t>、投标文件必须密封递交，并可以在封袋上正确标明“正本”或“副本”，资格审查资料可单独装订密封也可以随投标文件一起装订密封。</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、所有封袋上都可以写明招标人名称和工程名称以及投标人名称。</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3、未按要求密封和加写标记的投标文件，招标人不予受理。</w:t>
      </w:r>
    </w:p>
    <w:p>
      <w:pPr>
        <w:adjustRightInd w:val="0"/>
        <w:snapToGrid w:val="0"/>
        <w:spacing w:line="500" w:lineRule="exact"/>
        <w:ind w:firstLine="482" w:firstLineChars="200"/>
        <w:jc w:val="both"/>
        <w:rPr>
          <w:rFonts w:ascii="宋体" w:hAnsi="宋体" w:eastAsia="宋体"/>
          <w:b/>
          <w:sz w:val="24"/>
          <w:szCs w:val="24"/>
        </w:rPr>
      </w:pPr>
      <w:r>
        <w:rPr>
          <w:rFonts w:hint="eastAsia" w:ascii="宋体" w:hAnsi="宋体" w:eastAsia="宋体"/>
          <w:b/>
          <w:sz w:val="24"/>
          <w:szCs w:val="24"/>
        </w:rPr>
        <w:t>（十三）投标截止期</w:t>
      </w:r>
      <w:bookmarkEnd w:id="26"/>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、投标人应在投标须知中规定的时间之前将投标文件递交到指定地点。招标人在接到投标文件时将在投标文件上注明收到的日期和时间。</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、超过投标截止期送达的投标文件将被拒绝并原封退给投标人。</w:t>
      </w:r>
    </w:p>
    <w:p>
      <w:pPr>
        <w:adjustRightInd w:val="0"/>
        <w:snapToGrid w:val="0"/>
        <w:spacing w:line="500" w:lineRule="exact"/>
        <w:ind w:firstLine="482" w:firstLineChars="200"/>
        <w:jc w:val="both"/>
        <w:rPr>
          <w:rFonts w:ascii="宋体" w:hAnsi="宋体" w:eastAsia="宋体"/>
          <w:b/>
          <w:sz w:val="24"/>
          <w:szCs w:val="24"/>
        </w:rPr>
      </w:pPr>
      <w:bookmarkStart w:id="27" w:name="_Toc329097740"/>
      <w:r>
        <w:rPr>
          <w:rFonts w:hint="eastAsia" w:ascii="宋体" w:hAnsi="宋体" w:eastAsia="宋体"/>
          <w:b/>
          <w:sz w:val="24"/>
          <w:szCs w:val="24"/>
        </w:rPr>
        <w:t>（十四）投标文件的修改与撤回</w:t>
      </w:r>
      <w:bookmarkEnd w:id="27"/>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、投标人可以在递交投标文件以后，在规定的投标截止期之前，以书面形式向招标人递交修改或撤回其投标文件的通知。在投标截止期以后，不得更改投标文件。</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、投标人的修改或撤回通知，应按按本文件第（十二）条规定的要求编制、密封、标志和递交（密封袋上应标明“修改”或“撤回”字样）</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ascii="宋体" w:hAnsi="宋体" w:eastAsia="宋体"/>
          <w:sz w:val="24"/>
          <w:szCs w:val="24"/>
        </w:rPr>
        <w:t>3</w:t>
      </w:r>
      <w:r>
        <w:rPr>
          <w:rFonts w:hint="eastAsia" w:ascii="宋体" w:hAnsi="宋体" w:eastAsia="宋体"/>
          <w:sz w:val="24"/>
          <w:szCs w:val="24"/>
        </w:rPr>
        <w:t>、投标截止以后</w:t>
      </w:r>
      <w:r>
        <w:rPr>
          <w:rFonts w:ascii="宋体" w:hAnsi="宋体" w:eastAsia="宋体"/>
          <w:sz w:val="24"/>
          <w:szCs w:val="24"/>
        </w:rPr>
        <w:t>,</w:t>
      </w:r>
      <w:r>
        <w:rPr>
          <w:rFonts w:hint="eastAsia" w:ascii="宋体" w:hAnsi="宋体" w:eastAsia="宋体"/>
          <w:sz w:val="24"/>
          <w:szCs w:val="24"/>
        </w:rPr>
        <w:t>在投标有效期内，投标人不得撤回投标文件，否则其投标保证金将被没收。</w:t>
      </w:r>
    </w:p>
    <w:p>
      <w:pPr>
        <w:pStyle w:val="4"/>
        <w:spacing w:before="360" w:after="120" w:line="360" w:lineRule="auto"/>
        <w:rPr>
          <w:rFonts w:ascii="宋体" w:hAnsi="宋体" w:eastAsia="宋体"/>
          <w:snapToGrid w:val="0"/>
          <w:sz w:val="28"/>
          <w:szCs w:val="28"/>
        </w:rPr>
      </w:pPr>
      <w:bookmarkStart w:id="28" w:name="_Toc329097741"/>
      <w:bookmarkStart w:id="29" w:name="_Toc3141"/>
      <w:r>
        <w:rPr>
          <w:rFonts w:hint="eastAsia" w:ascii="宋体" w:hAnsi="宋体" w:eastAsia="宋体"/>
          <w:snapToGrid w:val="0"/>
          <w:sz w:val="28"/>
          <w:szCs w:val="28"/>
        </w:rPr>
        <w:t>六、开</w:t>
      </w:r>
      <w:r>
        <w:rPr>
          <w:rFonts w:ascii="宋体" w:hAnsi="宋体" w:eastAsia="宋体"/>
          <w:snapToGrid w:val="0"/>
          <w:sz w:val="28"/>
          <w:szCs w:val="28"/>
        </w:rPr>
        <w:t xml:space="preserve">    </w:t>
      </w:r>
      <w:r>
        <w:rPr>
          <w:rFonts w:hint="eastAsia" w:ascii="宋体" w:hAnsi="宋体" w:eastAsia="宋体"/>
          <w:snapToGrid w:val="0"/>
          <w:sz w:val="28"/>
          <w:szCs w:val="28"/>
        </w:rPr>
        <w:t>标</w:t>
      </w:r>
      <w:bookmarkEnd w:id="28"/>
      <w:bookmarkEnd w:id="29"/>
      <w:bookmarkStart w:id="30" w:name="_Toc329097742"/>
    </w:p>
    <w:p>
      <w:pPr>
        <w:adjustRightInd w:val="0"/>
        <w:snapToGrid w:val="0"/>
        <w:spacing w:line="500" w:lineRule="exact"/>
        <w:ind w:firstLine="482" w:firstLineChars="200"/>
        <w:jc w:val="both"/>
        <w:rPr>
          <w:rFonts w:ascii="宋体" w:hAnsi="宋体" w:eastAsia="宋体"/>
          <w:b/>
          <w:sz w:val="24"/>
          <w:szCs w:val="24"/>
        </w:rPr>
      </w:pPr>
      <w:r>
        <w:rPr>
          <w:rFonts w:hint="eastAsia" w:ascii="宋体" w:hAnsi="宋体" w:eastAsia="宋体"/>
          <w:b/>
          <w:sz w:val="24"/>
          <w:szCs w:val="24"/>
        </w:rPr>
        <w:t>（十五）开标</w:t>
      </w:r>
      <w:bookmarkEnd w:id="30"/>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、招标人在招标文件要求提交投标文件的截止时间前收到的所有投标文件，开标时都将当众予以拆封、宣读、记录。</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、唱标顺序按各投标人送达投标文件时间先后的逆顺序进行。</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hint="eastAsia" w:ascii="宋体" w:hAnsi="宋体" w:eastAsia="宋体"/>
          <w:spacing w:val="-12"/>
          <w:sz w:val="24"/>
          <w:szCs w:val="24"/>
        </w:rPr>
        <w:t>在开标时，投标文件出现下列情形之一的，将作为无效投标文件，不得进入评标</w:t>
      </w:r>
      <w:r>
        <w:rPr>
          <w:rFonts w:hint="eastAsia" w:ascii="宋体" w:hAnsi="宋体" w:eastAsia="宋体"/>
          <w:sz w:val="24"/>
          <w:szCs w:val="24"/>
        </w:rPr>
        <w:t>：</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）投标文件中的投标函未加盖投标人的企业及企业法定代表人印章或签字的，或者企业法定代表人委托代理人没有合法、有效的委托书（原件）及委托代理人印章或签字的；</w:t>
      </w:r>
      <w:bookmarkStart w:id="31" w:name="_Toc329097743"/>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2）未按规定的格式填写，内容不全或关键字迹模糊、无法辨认的；</w:t>
      </w:r>
      <w:r>
        <w:rPr>
          <w:rFonts w:hint="eastAsia" w:ascii="宋体" w:hAnsi="宋体" w:eastAsia="宋体"/>
          <w:sz w:val="24"/>
          <w:szCs w:val="24"/>
        </w:rPr>
        <w:t>、</w:t>
      </w:r>
    </w:p>
    <w:p>
      <w:pPr>
        <w:tabs>
          <w:tab w:val="left" w:pos="0"/>
          <w:tab w:val="left" w:pos="1134"/>
        </w:tabs>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3）投标人递交两份或多份内容不同的投标文件，或在一份投标文件中对同一招标项目报有两个或多个报价，且未声明哪一个有效，按招标文件规定提交备选投标方案的除外</w:t>
      </w:r>
      <w:r>
        <w:rPr>
          <w:rFonts w:hint="eastAsia" w:ascii="宋体" w:hAnsi="宋体" w:eastAsia="宋体"/>
          <w:sz w:val="24"/>
          <w:szCs w:val="24"/>
        </w:rPr>
        <w:t>。</w:t>
      </w:r>
    </w:p>
    <w:p>
      <w:pPr>
        <w:pStyle w:val="4"/>
        <w:spacing w:before="360" w:after="120" w:line="360" w:lineRule="auto"/>
        <w:rPr>
          <w:rFonts w:ascii="宋体" w:hAnsi="宋体" w:eastAsia="宋体"/>
          <w:snapToGrid w:val="0"/>
          <w:sz w:val="28"/>
          <w:szCs w:val="28"/>
        </w:rPr>
      </w:pPr>
      <w:bookmarkStart w:id="32" w:name="_Toc7969"/>
      <w:r>
        <w:rPr>
          <w:rFonts w:hint="eastAsia" w:ascii="宋体" w:hAnsi="宋体" w:eastAsia="宋体"/>
          <w:snapToGrid w:val="0"/>
          <w:sz w:val="28"/>
          <w:szCs w:val="28"/>
        </w:rPr>
        <w:t>七、评</w:t>
      </w:r>
      <w:r>
        <w:rPr>
          <w:rFonts w:ascii="宋体" w:hAnsi="宋体" w:eastAsia="宋体"/>
          <w:snapToGrid w:val="0"/>
          <w:sz w:val="28"/>
          <w:szCs w:val="28"/>
        </w:rPr>
        <w:t xml:space="preserve">    </w:t>
      </w:r>
      <w:r>
        <w:rPr>
          <w:rFonts w:hint="eastAsia" w:ascii="宋体" w:hAnsi="宋体" w:eastAsia="宋体"/>
          <w:snapToGrid w:val="0"/>
          <w:sz w:val="28"/>
          <w:szCs w:val="28"/>
        </w:rPr>
        <w:t>标</w:t>
      </w:r>
      <w:bookmarkEnd w:id="31"/>
      <w:bookmarkEnd w:id="32"/>
      <w:bookmarkStart w:id="33" w:name="_Toc329097744"/>
    </w:p>
    <w:p>
      <w:pPr>
        <w:adjustRightInd w:val="0"/>
        <w:snapToGrid w:val="0"/>
        <w:spacing w:line="500" w:lineRule="exact"/>
        <w:ind w:firstLine="482" w:firstLineChars="200"/>
        <w:jc w:val="both"/>
        <w:rPr>
          <w:rFonts w:ascii="宋体" w:hAnsi="宋体" w:eastAsia="宋体"/>
          <w:b/>
          <w:sz w:val="24"/>
          <w:szCs w:val="24"/>
        </w:rPr>
      </w:pPr>
      <w:r>
        <w:rPr>
          <w:rFonts w:hint="eastAsia" w:ascii="宋体" w:hAnsi="宋体" w:eastAsia="宋体"/>
          <w:b/>
          <w:sz w:val="24"/>
          <w:szCs w:val="24"/>
        </w:rPr>
        <w:t>（十六）评标</w:t>
      </w:r>
      <w:bookmarkEnd w:id="33"/>
    </w:p>
    <w:p>
      <w:pPr>
        <w:adjustRightInd w:val="0"/>
        <w:snapToGrid w:val="0"/>
        <w:spacing w:line="500" w:lineRule="exact"/>
        <w:ind w:firstLine="470" w:firstLineChars="196"/>
        <w:rPr>
          <w:rFonts w:ascii="宋体" w:hAnsi="宋体" w:eastAsia="宋体"/>
          <w:sz w:val="24"/>
          <w:szCs w:val="24"/>
        </w:rPr>
      </w:pPr>
      <w:bookmarkStart w:id="34" w:name="_Toc232567428"/>
      <w:bookmarkStart w:id="35" w:name="_Toc291172139"/>
      <w:bookmarkStart w:id="36" w:name="_Toc291253263"/>
      <w:bookmarkStart w:id="37" w:name="_Toc224554231"/>
      <w:r>
        <w:rPr>
          <w:rFonts w:ascii="宋体" w:hAnsi="宋体" w:eastAsia="宋体"/>
          <w:sz w:val="24"/>
          <w:szCs w:val="24"/>
        </w:rPr>
        <w:t>1</w:t>
      </w:r>
      <w:r>
        <w:rPr>
          <w:rFonts w:hint="eastAsia" w:ascii="宋体" w:hAnsi="宋体" w:eastAsia="宋体"/>
          <w:sz w:val="24"/>
          <w:szCs w:val="24"/>
        </w:rPr>
        <w:t>、</w:t>
      </w:r>
      <w:bookmarkEnd w:id="34"/>
      <w:bookmarkEnd w:id="35"/>
      <w:bookmarkEnd w:id="36"/>
      <w:bookmarkEnd w:id="37"/>
      <w:r>
        <w:rPr>
          <w:rFonts w:hint="eastAsia" w:ascii="宋体" w:hAnsi="宋体" w:eastAsia="宋体"/>
          <w:sz w:val="24"/>
          <w:szCs w:val="24"/>
        </w:rPr>
        <w:t>评标工作</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（1）评标工作由招标人组织进行。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（2）评标委员会由招标人负责组建，评标委员会的专家成员将聘请有关技术经济方面的专家。</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2、</w:t>
      </w:r>
      <w:r>
        <w:rPr>
          <w:rFonts w:ascii="宋体" w:hAnsi="宋体" w:eastAsia="宋体"/>
          <w:snapToGrid w:val="0"/>
          <w:sz w:val="24"/>
          <w:szCs w:val="24"/>
        </w:rPr>
        <w:t>本工程采用下列第（2）种方式进行评标。</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w:t>
      </w:r>
      <w:r>
        <w:rPr>
          <w:rFonts w:ascii="宋体" w:hAnsi="宋体" w:eastAsia="宋体"/>
          <w:snapToGrid w:val="0"/>
          <w:sz w:val="24"/>
          <w:szCs w:val="24"/>
        </w:rPr>
        <w:t>1）经评审的最低投标价法：是指在投标文件能够满足招标文件实质性要求的投标人中，评审出投标价格最低的投标人，但投标价格低于其企业成本的除外。</w:t>
      </w:r>
    </w:p>
    <w:p>
      <w:pPr>
        <w:tabs>
          <w:tab w:val="left" w:pos="0"/>
          <w:tab w:val="left" w:pos="1134"/>
        </w:tabs>
        <w:adjustRightInd w:val="0"/>
        <w:snapToGrid w:val="0"/>
        <w:spacing w:line="500" w:lineRule="exact"/>
        <w:ind w:firstLine="482" w:firstLineChars="200"/>
        <w:jc w:val="both"/>
        <w:rPr>
          <w:rFonts w:ascii="宋体" w:hAnsi="宋体" w:eastAsia="宋体"/>
          <w:b/>
          <w:snapToGrid w:val="0"/>
          <w:sz w:val="24"/>
          <w:szCs w:val="24"/>
        </w:rPr>
      </w:pPr>
      <w:r>
        <w:rPr>
          <w:rFonts w:hint="eastAsia" w:ascii="宋体" w:hAnsi="宋体" w:eastAsia="宋体"/>
          <w:b/>
          <w:snapToGrid w:val="0"/>
          <w:sz w:val="24"/>
          <w:szCs w:val="24"/>
        </w:rPr>
        <w:t>（</w:t>
      </w:r>
      <w:r>
        <w:rPr>
          <w:rFonts w:ascii="宋体" w:hAnsi="宋体" w:eastAsia="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具体采用：见投标须知附页</w:t>
      </w:r>
    </w:p>
    <w:p>
      <w:pPr>
        <w:adjustRightInd w:val="0"/>
        <w:snapToGrid w:val="0"/>
        <w:spacing w:line="500" w:lineRule="exact"/>
        <w:ind w:firstLine="470" w:firstLineChars="196"/>
        <w:rPr>
          <w:rFonts w:ascii="宋体" w:hAnsi="宋体" w:eastAsia="宋体"/>
          <w:sz w:val="24"/>
          <w:szCs w:val="24"/>
        </w:rPr>
      </w:pPr>
      <w:bookmarkStart w:id="38" w:name="_Toc291253264"/>
      <w:bookmarkStart w:id="39" w:name="_Toc232567429"/>
      <w:bookmarkStart w:id="40" w:name="_Toc291172140"/>
      <w:bookmarkStart w:id="41" w:name="_Toc224554232"/>
      <w:r>
        <w:rPr>
          <w:rFonts w:ascii="宋体" w:hAnsi="宋体" w:eastAsia="宋体"/>
          <w:sz w:val="24"/>
          <w:szCs w:val="24"/>
        </w:rPr>
        <w:t>2</w:t>
      </w:r>
      <w:r>
        <w:rPr>
          <w:rFonts w:hint="eastAsia" w:ascii="宋体" w:hAnsi="宋体" w:eastAsia="宋体"/>
          <w:sz w:val="24"/>
          <w:szCs w:val="24"/>
        </w:rPr>
        <w:t>、评标程序</w:t>
      </w:r>
      <w:bookmarkEnd w:id="38"/>
      <w:bookmarkEnd w:id="39"/>
      <w:bookmarkEnd w:id="40"/>
      <w:bookmarkEnd w:id="41"/>
    </w:p>
    <w:p>
      <w:pPr>
        <w:adjustRightInd w:val="0"/>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）按招标文件规定对资格审查资料进行符合性和完整性审查；</w:t>
      </w:r>
    </w:p>
    <w:p>
      <w:pPr>
        <w:adjustRightInd w:val="0"/>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）按本章评分细则对投标文件进行评审；</w:t>
      </w:r>
    </w:p>
    <w:p>
      <w:pPr>
        <w:adjustRightInd w:val="0"/>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）向招标人推选三个中标候选人。</w:t>
      </w:r>
      <w:bookmarkStart w:id="42" w:name="_Toc291172141"/>
      <w:bookmarkStart w:id="43" w:name="_Toc291253265"/>
    </w:p>
    <w:p>
      <w:pPr>
        <w:adjustRightInd w:val="0"/>
        <w:snapToGrid w:val="0"/>
        <w:spacing w:line="500" w:lineRule="exact"/>
        <w:ind w:firstLine="470" w:firstLineChars="196"/>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、符合性与完整性审查</w:t>
      </w:r>
      <w:bookmarkEnd w:id="42"/>
      <w:bookmarkEnd w:id="43"/>
    </w:p>
    <w:p>
      <w:pPr>
        <w:adjustRightInd w:val="0"/>
        <w:snapToGrid w:val="0"/>
        <w:spacing w:line="500" w:lineRule="exact"/>
        <w:ind w:firstLine="470" w:firstLineChars="196"/>
        <w:rPr>
          <w:rFonts w:ascii="宋体" w:hAnsi="宋体" w:eastAsia="宋体"/>
          <w:b/>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w:t>
      </w:r>
      <w:r>
        <w:rPr>
          <w:rFonts w:hint="eastAsia" w:ascii="宋体" w:hAnsi="宋体" w:eastAsia="宋体"/>
          <w:bCs/>
          <w:sz w:val="24"/>
          <w:szCs w:val="24"/>
        </w:rPr>
        <w:t>通过对其投标文件进行符合性与完整性审查。</w:t>
      </w:r>
    </w:p>
    <w:p>
      <w:pPr>
        <w:tabs>
          <w:tab w:val="left" w:pos="0"/>
        </w:tabs>
        <w:adjustRightInd w:val="0"/>
        <w:snapToGrid w:val="0"/>
        <w:spacing w:line="500" w:lineRule="exact"/>
        <w:ind w:firstLine="480" w:firstLineChars="200"/>
        <w:rPr>
          <w:rFonts w:ascii="宋体" w:hAnsi="宋体" w:eastAsia="宋体"/>
          <w:bCs/>
          <w:sz w:val="24"/>
          <w:szCs w:val="24"/>
        </w:rPr>
      </w:pPr>
      <w:r>
        <w:rPr>
          <w:rFonts w:hint="eastAsia" w:ascii="宋体" w:hAnsi="宋体" w:eastAsia="宋体"/>
          <w:bCs/>
          <w:sz w:val="24"/>
          <w:szCs w:val="24"/>
        </w:rPr>
        <w:t>未通过符合性与完整性评审的投标文件将被视为实质上不响应招标文件的有关规定，评标委员会将不再进行评审。</w:t>
      </w:r>
    </w:p>
    <w:p>
      <w:pPr>
        <w:adjustRightInd w:val="0"/>
        <w:snapToGrid w:val="0"/>
        <w:spacing w:line="500" w:lineRule="exact"/>
        <w:ind w:firstLine="470" w:firstLineChars="196"/>
        <w:rPr>
          <w:rFonts w:ascii="宋体" w:hAnsi="宋体" w:eastAsia="宋体"/>
          <w:b/>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bCs/>
          <w:sz w:val="24"/>
          <w:szCs w:val="24"/>
        </w:rPr>
        <w:t>投标文件中存在下述情况之一的，该投标人投标文件将的符合性与完整性审查将被不予通过：</w:t>
      </w:r>
    </w:p>
    <w:p>
      <w:pPr>
        <w:adjustRightInd w:val="0"/>
        <w:snapToGrid w:val="0"/>
        <w:spacing w:line="500" w:lineRule="exact"/>
        <w:ind w:firstLine="480" w:firstLineChars="200"/>
        <w:rPr>
          <w:rFonts w:ascii="宋体" w:hAnsi="宋体" w:eastAsia="宋体"/>
          <w:bCs/>
          <w:sz w:val="24"/>
          <w:szCs w:val="24"/>
        </w:rPr>
      </w:pPr>
      <w:r>
        <w:rPr>
          <w:rFonts w:ascii="宋体" w:hAnsi="宋体" w:eastAsia="宋体"/>
          <w:bCs/>
          <w:sz w:val="24"/>
          <w:szCs w:val="24"/>
        </w:rPr>
        <w:fldChar w:fldCharType="begin"/>
      </w:r>
      <w:r>
        <w:rPr>
          <w:rFonts w:ascii="宋体" w:hAnsi="宋体" w:eastAsia="宋体"/>
          <w:bCs/>
          <w:sz w:val="24"/>
          <w:szCs w:val="24"/>
        </w:rPr>
        <w:instrText xml:space="preserve"> </w:instrText>
      </w:r>
      <w:r>
        <w:rPr>
          <w:rFonts w:hint="eastAsia" w:ascii="宋体" w:hAnsi="宋体" w:eastAsia="宋体"/>
          <w:bCs/>
          <w:sz w:val="24"/>
          <w:szCs w:val="24"/>
        </w:rPr>
        <w:instrText xml:space="preserve">= 1 \* GB3</w:instrText>
      </w:r>
      <w:r>
        <w:rPr>
          <w:rFonts w:ascii="宋体" w:hAnsi="宋体" w:eastAsia="宋体"/>
          <w:bCs/>
          <w:sz w:val="24"/>
          <w:szCs w:val="24"/>
        </w:rPr>
        <w:instrText xml:space="preserve"> </w:instrText>
      </w:r>
      <w:r>
        <w:rPr>
          <w:rFonts w:ascii="宋体" w:hAnsi="宋体" w:eastAsia="宋体"/>
          <w:bCs/>
          <w:sz w:val="24"/>
          <w:szCs w:val="24"/>
        </w:rPr>
        <w:fldChar w:fldCharType="separate"/>
      </w:r>
      <w:r>
        <w:rPr>
          <w:rFonts w:hint="eastAsia" w:ascii="宋体" w:hAnsi="宋体" w:eastAsia="宋体"/>
          <w:bCs/>
          <w:sz w:val="24"/>
          <w:szCs w:val="24"/>
        </w:rPr>
        <w:t>①</w:t>
      </w:r>
      <w:r>
        <w:rPr>
          <w:rFonts w:ascii="宋体" w:hAnsi="宋体" w:eastAsia="宋体"/>
          <w:bCs/>
          <w:sz w:val="24"/>
          <w:szCs w:val="24"/>
        </w:rPr>
        <w:fldChar w:fldCharType="end"/>
      </w:r>
      <w:r>
        <w:rPr>
          <w:rFonts w:hint="eastAsia" w:ascii="宋体" w:hAnsi="宋体" w:eastAsia="宋体"/>
          <w:bCs/>
          <w:sz w:val="24"/>
          <w:szCs w:val="24"/>
        </w:rPr>
        <w:t>投标文件的主要组成、主要格式等不符合招标文件规定；</w:t>
      </w:r>
    </w:p>
    <w:p>
      <w:pPr>
        <w:tabs>
          <w:tab w:val="left" w:pos="1620"/>
        </w:tabs>
        <w:adjustRightInd w:val="0"/>
        <w:snapToGrid w:val="0"/>
        <w:spacing w:line="500" w:lineRule="exact"/>
        <w:ind w:firstLine="480" w:firstLineChars="200"/>
        <w:rPr>
          <w:rFonts w:ascii="宋体" w:hAnsi="宋体" w:eastAsia="宋体"/>
          <w:b/>
          <w:sz w:val="24"/>
          <w:szCs w:val="24"/>
        </w:rPr>
      </w:pPr>
      <w:r>
        <w:rPr>
          <w:rFonts w:ascii="宋体" w:hAnsi="宋体" w:eastAsia="宋体"/>
          <w:bCs/>
          <w:sz w:val="24"/>
          <w:szCs w:val="24"/>
        </w:rPr>
        <w:fldChar w:fldCharType="begin"/>
      </w:r>
      <w:r>
        <w:rPr>
          <w:rFonts w:ascii="宋体" w:hAnsi="宋体" w:eastAsia="宋体"/>
          <w:bCs/>
          <w:sz w:val="24"/>
          <w:szCs w:val="24"/>
        </w:rPr>
        <w:instrText xml:space="preserve"> </w:instrText>
      </w:r>
      <w:r>
        <w:rPr>
          <w:rFonts w:hint="eastAsia" w:ascii="宋体" w:hAnsi="宋体" w:eastAsia="宋体"/>
          <w:bCs/>
          <w:sz w:val="24"/>
          <w:szCs w:val="24"/>
        </w:rPr>
        <w:instrText xml:space="preserve">= 2 \* GB3</w:instrText>
      </w:r>
      <w:r>
        <w:rPr>
          <w:rFonts w:ascii="宋体" w:hAnsi="宋体" w:eastAsia="宋体"/>
          <w:bCs/>
          <w:sz w:val="24"/>
          <w:szCs w:val="24"/>
        </w:rPr>
        <w:instrText xml:space="preserve"> </w:instrText>
      </w:r>
      <w:r>
        <w:rPr>
          <w:rFonts w:ascii="宋体" w:hAnsi="宋体" w:eastAsia="宋体"/>
          <w:bCs/>
          <w:sz w:val="24"/>
          <w:szCs w:val="24"/>
        </w:rPr>
        <w:fldChar w:fldCharType="separate"/>
      </w:r>
      <w:r>
        <w:rPr>
          <w:rFonts w:hint="eastAsia" w:ascii="宋体" w:hAnsi="宋体" w:eastAsia="宋体"/>
          <w:bCs/>
          <w:sz w:val="24"/>
          <w:szCs w:val="24"/>
        </w:rPr>
        <w:t>②</w:t>
      </w:r>
      <w:r>
        <w:rPr>
          <w:rFonts w:ascii="宋体" w:hAnsi="宋体" w:eastAsia="宋体"/>
          <w:bCs/>
          <w:sz w:val="24"/>
          <w:szCs w:val="24"/>
        </w:rPr>
        <w:fldChar w:fldCharType="end"/>
      </w:r>
      <w:r>
        <w:rPr>
          <w:rFonts w:hint="eastAsia" w:ascii="宋体" w:hAnsi="宋体" w:eastAsia="宋体"/>
          <w:bCs/>
          <w:sz w:val="24"/>
          <w:szCs w:val="24"/>
        </w:rPr>
        <w:t>投标文件内容与招标文件的有关要求存在重大差异。</w:t>
      </w:r>
    </w:p>
    <w:p>
      <w:pPr>
        <w:adjustRightInd w:val="0"/>
        <w:snapToGrid w:val="0"/>
        <w:spacing w:line="500" w:lineRule="exact"/>
        <w:ind w:firstLine="482" w:firstLineChars="200"/>
        <w:jc w:val="both"/>
        <w:rPr>
          <w:rFonts w:ascii="宋体" w:hAnsi="宋体" w:eastAsia="宋体"/>
          <w:b/>
          <w:sz w:val="24"/>
          <w:szCs w:val="24"/>
        </w:rPr>
      </w:pPr>
      <w:bookmarkStart w:id="44" w:name="_Toc329097745"/>
      <w:r>
        <w:rPr>
          <w:rFonts w:hint="eastAsia" w:ascii="宋体" w:hAnsi="宋体" w:eastAsia="宋体"/>
          <w:b/>
          <w:sz w:val="24"/>
          <w:szCs w:val="24"/>
        </w:rPr>
        <w:t>（十七）投标文件的澄清</w:t>
      </w:r>
      <w:bookmarkEnd w:id="44"/>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pPr>
        <w:adjustRightInd w:val="0"/>
        <w:snapToGrid w:val="0"/>
        <w:spacing w:line="500" w:lineRule="exact"/>
        <w:ind w:firstLine="482" w:firstLineChars="200"/>
        <w:jc w:val="both"/>
        <w:rPr>
          <w:rFonts w:ascii="宋体" w:hAnsi="宋体" w:eastAsia="宋体"/>
          <w:sz w:val="24"/>
          <w:szCs w:val="24"/>
        </w:rPr>
      </w:pPr>
      <w:r>
        <w:rPr>
          <w:rFonts w:hint="eastAsia" w:ascii="宋体" w:hAnsi="宋体" w:eastAsia="宋体"/>
          <w:b/>
          <w:sz w:val="24"/>
          <w:szCs w:val="24"/>
        </w:rPr>
        <w:t>（十八）在评标过程中</w:t>
      </w:r>
      <w:r>
        <w:rPr>
          <w:rFonts w:hint="eastAsia" w:ascii="宋体" w:hAnsi="宋体" w:eastAsia="宋体"/>
          <w:sz w:val="24"/>
          <w:szCs w:val="24"/>
        </w:rPr>
        <w:t>，评标委员会若发现投标人以他人的名义投标、串通投标、以行贿手段谋取中标或者以其他弄虚作假方式投标的，该投标人的投标将作废标处理。</w:t>
      </w:r>
    </w:p>
    <w:p>
      <w:pPr>
        <w:adjustRightInd w:val="0"/>
        <w:snapToGrid w:val="0"/>
        <w:spacing w:line="500" w:lineRule="exact"/>
        <w:ind w:firstLine="482" w:firstLineChars="200"/>
        <w:jc w:val="both"/>
        <w:rPr>
          <w:rFonts w:ascii="宋体" w:hAnsi="宋体" w:eastAsia="宋体"/>
          <w:sz w:val="24"/>
          <w:szCs w:val="24"/>
        </w:rPr>
      </w:pPr>
      <w:r>
        <w:rPr>
          <w:rFonts w:hint="eastAsia" w:ascii="宋体" w:hAnsi="宋体" w:eastAsia="宋体"/>
          <w:b/>
          <w:sz w:val="24"/>
          <w:szCs w:val="24"/>
        </w:rPr>
        <w:t>（十九）</w:t>
      </w:r>
      <w:r>
        <w:rPr>
          <w:rFonts w:hint="eastAsia" w:ascii="宋体" w:hAnsi="宋体" w:eastAsia="宋体"/>
          <w:sz w:val="24"/>
          <w:szCs w:val="24"/>
        </w:rPr>
        <w:t>投标人资格条件不符合国家有关规定和招标文件要求的，或者拒不按照要求对投标文件进行澄清、说明或者补正的，评标委员会可以否决其投标。</w:t>
      </w:r>
    </w:p>
    <w:p>
      <w:pPr>
        <w:adjustRightInd w:val="0"/>
        <w:snapToGrid w:val="0"/>
        <w:spacing w:line="500" w:lineRule="exact"/>
        <w:ind w:firstLine="482" w:firstLineChars="200"/>
        <w:jc w:val="both"/>
        <w:rPr>
          <w:rFonts w:ascii="宋体" w:hAnsi="宋体" w:eastAsia="宋体"/>
          <w:b/>
          <w:sz w:val="24"/>
          <w:szCs w:val="24"/>
        </w:rPr>
      </w:pPr>
      <w:r>
        <w:rPr>
          <w:rFonts w:hint="eastAsia" w:ascii="宋体" w:hAnsi="宋体" w:eastAsia="宋体"/>
          <w:b/>
          <w:sz w:val="24"/>
          <w:szCs w:val="24"/>
        </w:rPr>
        <w:t>（二十）</w:t>
      </w:r>
      <w:r>
        <w:rPr>
          <w:rFonts w:hint="eastAsia" w:ascii="宋体" w:hAnsi="宋体" w:eastAsia="宋体"/>
          <w:sz w:val="24"/>
          <w:szCs w:val="24"/>
        </w:rPr>
        <w:t>评标委员会将审查每一投标文件是否对招标文件提出的所有实质性要求和条件作出响应。未能在实质上响应的投标，将否决其投标。</w:t>
      </w:r>
    </w:p>
    <w:p>
      <w:pPr>
        <w:adjustRightInd w:val="0"/>
        <w:snapToGrid w:val="0"/>
        <w:spacing w:line="500" w:lineRule="exact"/>
        <w:ind w:firstLine="482" w:firstLineChars="200"/>
        <w:jc w:val="both"/>
        <w:rPr>
          <w:rFonts w:ascii="宋体" w:hAnsi="宋体" w:eastAsia="宋体"/>
          <w:b/>
          <w:sz w:val="24"/>
          <w:szCs w:val="24"/>
        </w:rPr>
      </w:pPr>
      <w:r>
        <w:rPr>
          <w:rFonts w:hint="eastAsia" w:ascii="宋体" w:hAnsi="宋体" w:eastAsia="宋体"/>
          <w:b/>
          <w:sz w:val="24"/>
          <w:szCs w:val="24"/>
        </w:rPr>
        <w:t>（二十一）投标文件有下列情况之一的，评标委员会应当否决其投标：</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、投标文件未经投标单位盖章和单位负责人签字或盖章的；</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、投标报价低于成本，或者高于招标文件设定的最高投标限价；</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、未响应招标文件的实质性要求和条件；</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、不符合国家或者招标文件规定的资格条件；</w:t>
      </w:r>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、项目的完成期限不满足招标文件要求；</w:t>
      </w:r>
    </w:p>
    <w:p>
      <w:pPr>
        <w:adjustRightInd w:val="0"/>
        <w:snapToGrid w:val="0"/>
        <w:spacing w:line="500" w:lineRule="exact"/>
        <w:ind w:firstLine="480" w:firstLineChars="200"/>
        <w:jc w:val="both"/>
        <w:rPr>
          <w:rFonts w:ascii="宋体" w:hAnsi="宋体" w:eastAsia="宋体"/>
          <w:b/>
          <w:sz w:val="24"/>
          <w:szCs w:val="24"/>
        </w:rPr>
      </w:pPr>
      <w:r>
        <w:rPr>
          <w:rFonts w:hint="eastAsia" w:ascii="宋体" w:hAnsi="宋体" w:eastAsia="宋体"/>
          <w:sz w:val="24"/>
          <w:szCs w:val="24"/>
        </w:rPr>
        <w:t>6、</w:t>
      </w:r>
      <w:r>
        <w:rPr>
          <w:rFonts w:ascii="宋体" w:hAnsi="宋体" w:eastAsia="宋体"/>
          <w:sz w:val="24"/>
          <w:szCs w:val="24"/>
        </w:rPr>
        <w:t>与招标文件规定的暂估价、暂列金额及甲供材料价格不一致的；</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改变招标文件提供的</w:t>
      </w:r>
      <w:r>
        <w:rPr>
          <w:rFonts w:hint="eastAsia" w:ascii="宋体" w:hAnsi="宋体" w:eastAsia="宋体"/>
          <w:sz w:val="24"/>
          <w:szCs w:val="24"/>
        </w:rPr>
        <w:t>招标</w:t>
      </w:r>
      <w:r>
        <w:rPr>
          <w:rFonts w:ascii="宋体" w:hAnsi="宋体" w:eastAsia="宋体"/>
          <w:sz w:val="24"/>
          <w:szCs w:val="24"/>
        </w:rPr>
        <w:t>清单中的计量单位、数量</w:t>
      </w:r>
      <w:r>
        <w:rPr>
          <w:rFonts w:hint="eastAsia" w:ascii="宋体" w:hAnsi="宋体" w:eastAsia="宋体"/>
          <w:sz w:val="24"/>
          <w:szCs w:val="24"/>
        </w:rPr>
        <w:t>的</w:t>
      </w:r>
      <w:r>
        <w:rPr>
          <w:rFonts w:ascii="宋体" w:hAnsi="宋体" w:eastAsia="宋体"/>
          <w:sz w:val="24"/>
          <w:szCs w:val="24"/>
        </w:rPr>
        <w:t>；</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与招标文件明确列出的不可竞争费用项目或费率或计算基础不一致的；</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 xml:space="preserve">投标文件载明的货物包装方式、检验标准和方法等不符合招标文件的要求的； </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投标文件提出了不能满足招标文件要求或招标人不能接受的工程验收、计量、价款结算和支付办法的；</w:t>
      </w:r>
    </w:p>
    <w:p>
      <w:pPr>
        <w:adjustRightInd w:val="0"/>
        <w:snapToGrid w:val="0"/>
        <w:spacing w:line="500" w:lineRule="exact"/>
        <w:ind w:firstLine="482" w:firstLineChars="200"/>
        <w:jc w:val="both"/>
        <w:rPr>
          <w:rFonts w:ascii="宋体" w:hAnsi="宋体" w:eastAsia="宋体"/>
          <w:b/>
          <w:sz w:val="24"/>
          <w:szCs w:val="24"/>
        </w:rPr>
      </w:pPr>
      <w:r>
        <w:rPr>
          <w:rFonts w:hint="eastAsia" w:ascii="宋体" w:hAnsi="宋体" w:eastAsia="宋体"/>
          <w:b/>
          <w:sz w:val="24"/>
          <w:szCs w:val="24"/>
        </w:rPr>
        <w:t>11、</w:t>
      </w:r>
      <w:r>
        <w:rPr>
          <w:rFonts w:ascii="宋体" w:hAnsi="宋体" w:eastAsia="宋体"/>
          <w:b/>
          <w:sz w:val="24"/>
          <w:szCs w:val="24"/>
        </w:rPr>
        <w:t>投标人拟采购的主要材料未提供品牌、规格、型号、厂家且未选用招标人指定材料品牌，且投标人选用的材料品牌招标人不能接受的；</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12、与其他投标人或者与招标人串通投标；</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13、以他人名义投标，或者以其他方式弄虚作假；</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14、以向招标人或者评标委员会成员行贿的手段谋取中标；</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15、提交两个以上不同的投标文件或者投标报价，但招标文件要求提交备选投标的除外。</w:t>
      </w:r>
    </w:p>
    <w:p>
      <w:pPr>
        <w:adjustRightInd w:val="0"/>
        <w:snapToGrid w:val="0"/>
        <w:spacing w:line="500" w:lineRule="exact"/>
        <w:ind w:firstLine="480" w:firstLineChars="200"/>
        <w:jc w:val="both"/>
        <w:rPr>
          <w:rFonts w:ascii="宋体" w:hAnsi="宋体" w:eastAsia="宋体"/>
          <w:sz w:val="24"/>
          <w:szCs w:val="24"/>
        </w:rPr>
      </w:pPr>
      <w:r>
        <w:rPr>
          <w:rFonts w:hint="eastAsia" w:ascii="宋体" w:hAnsi="宋体" w:eastAsia="宋体"/>
          <w:sz w:val="24"/>
          <w:szCs w:val="24"/>
        </w:rPr>
        <w:t>评标委员会根据规定否决不合格投标或者界定为废标后，因有效投标不足三个使得投标明显缺乏竞争的，评标委员会可以否决全部投标。所有投标被否决的，招标人依法重新招标。</w:t>
      </w:r>
    </w:p>
    <w:p>
      <w:pPr>
        <w:adjustRightInd w:val="0"/>
        <w:snapToGrid w:val="0"/>
        <w:spacing w:line="500" w:lineRule="exact"/>
        <w:ind w:firstLine="482" w:firstLineChars="200"/>
        <w:jc w:val="both"/>
        <w:rPr>
          <w:rFonts w:ascii="宋体" w:hAnsi="宋体" w:eastAsia="宋体"/>
          <w:spacing w:val="-4"/>
          <w:sz w:val="24"/>
          <w:szCs w:val="24"/>
        </w:rPr>
      </w:pPr>
      <w:r>
        <w:rPr>
          <w:rFonts w:hint="eastAsia" w:ascii="宋体" w:hAnsi="宋体" w:eastAsia="宋体"/>
          <w:b/>
          <w:sz w:val="24"/>
          <w:szCs w:val="24"/>
        </w:rPr>
        <w:t>（二十二）</w:t>
      </w:r>
      <w:r>
        <w:rPr>
          <w:rFonts w:hint="eastAsia" w:ascii="宋体" w:hAnsi="宋体" w:eastAsia="宋体"/>
          <w:spacing w:val="-4"/>
          <w:sz w:val="24"/>
          <w:szCs w:val="24"/>
        </w:rPr>
        <w:t>评标和定标将在投标有效期结束日</w:t>
      </w:r>
      <w:r>
        <w:rPr>
          <w:rFonts w:ascii="宋体" w:hAnsi="宋体" w:eastAsia="宋体"/>
          <w:spacing w:val="-4"/>
          <w:sz w:val="24"/>
          <w:szCs w:val="24"/>
        </w:rPr>
        <w:t>30</w:t>
      </w:r>
      <w:r>
        <w:rPr>
          <w:rFonts w:hint="eastAsia" w:ascii="宋体" w:hAnsi="宋体" w:eastAsia="宋体"/>
          <w:spacing w:val="-4"/>
          <w:sz w:val="24"/>
          <w:szCs w:val="24"/>
        </w:rPr>
        <w:t>个工作日前完成。不能在投标有效期结束日</w:t>
      </w:r>
      <w:r>
        <w:rPr>
          <w:rFonts w:ascii="宋体" w:hAnsi="宋体" w:eastAsia="宋体"/>
          <w:spacing w:val="-4"/>
          <w:sz w:val="24"/>
          <w:szCs w:val="24"/>
        </w:rPr>
        <w:t>30</w:t>
      </w:r>
      <w:r>
        <w:rPr>
          <w:rFonts w:hint="eastAsia" w:ascii="宋体" w:hAnsi="宋体" w:eastAsia="宋体"/>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pPr>
        <w:pStyle w:val="4"/>
        <w:spacing w:before="360" w:after="120" w:line="360" w:lineRule="auto"/>
        <w:rPr>
          <w:rFonts w:ascii="宋体" w:hAnsi="宋体" w:eastAsia="宋体"/>
          <w:snapToGrid w:val="0"/>
          <w:sz w:val="28"/>
          <w:szCs w:val="28"/>
        </w:rPr>
      </w:pPr>
      <w:bookmarkStart w:id="45" w:name="_Toc329097746"/>
      <w:bookmarkStart w:id="46" w:name="_Toc6323"/>
      <w:r>
        <w:rPr>
          <w:rFonts w:hint="eastAsia" w:ascii="宋体" w:hAnsi="宋体" w:eastAsia="宋体"/>
          <w:snapToGrid w:val="0"/>
          <w:sz w:val="28"/>
          <w:szCs w:val="28"/>
        </w:rPr>
        <w:t>八、授予合同</w:t>
      </w:r>
      <w:bookmarkEnd w:id="45"/>
      <w:bookmarkEnd w:id="46"/>
    </w:p>
    <w:p>
      <w:pPr>
        <w:adjustRightInd w:val="0"/>
        <w:snapToGrid w:val="0"/>
        <w:spacing w:line="500" w:lineRule="exact"/>
        <w:ind w:firstLine="482" w:firstLineChars="200"/>
        <w:jc w:val="both"/>
        <w:rPr>
          <w:rFonts w:ascii="宋体" w:hAnsi="宋体" w:eastAsia="宋体"/>
          <w:b/>
          <w:sz w:val="24"/>
          <w:szCs w:val="24"/>
        </w:rPr>
      </w:pPr>
      <w:bookmarkStart w:id="47" w:name="_Toc329097747"/>
      <w:r>
        <w:rPr>
          <w:rFonts w:hint="eastAsia" w:ascii="宋体" w:hAnsi="宋体" w:eastAsia="宋体"/>
          <w:b/>
          <w:sz w:val="24"/>
          <w:szCs w:val="24"/>
        </w:rPr>
        <w:t>（二十三）中标</w:t>
      </w:r>
      <w:bookmarkEnd w:id="47"/>
    </w:p>
    <w:p>
      <w:pPr>
        <w:adjustRightInd w:val="0"/>
        <w:snapToGrid w:val="0"/>
        <w:spacing w:line="500" w:lineRule="exact"/>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、确定中标单位后，招标人向中标单位发出中标通知书，并同时将中标结果通知所有未中标的投标人。中标通知书将成为合同的组成部分。</w:t>
      </w:r>
    </w:p>
    <w:p>
      <w:pPr>
        <w:adjustRightInd w:val="0"/>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排名第一的中标候选人放弃中标、因不可抗力提出不能履行合同，不按照招标文</w:t>
      </w:r>
      <w:r>
        <w:rPr>
          <w:rFonts w:hint="eastAsia" w:ascii="宋体" w:hAnsi="宋体" w:eastAsia="宋体"/>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hint="eastAsia" w:ascii="宋体" w:hAnsi="宋体" w:eastAsia="宋体"/>
          <w:sz w:val="24"/>
          <w:szCs w:val="24"/>
        </w:rPr>
        <w:t>候选人为中标人。依次确定其他中标候选人与招标人预期差距较大，或者对招标人明显不利的，招标人可以重新招标。</w:t>
      </w:r>
      <w:r>
        <w:rPr>
          <w:rFonts w:ascii="宋体" w:hAnsi="宋体" w:eastAsia="宋体"/>
          <w:sz w:val="24"/>
          <w:szCs w:val="24"/>
        </w:rPr>
        <w:t xml:space="preserve"> </w:t>
      </w:r>
    </w:p>
    <w:p>
      <w:pPr>
        <w:tabs>
          <w:tab w:val="left" w:pos="0"/>
          <w:tab w:val="left" w:pos="1002"/>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z w:val="24"/>
          <w:szCs w:val="24"/>
        </w:rPr>
        <w:t>2、中标人收到中标通知书后，应在</w:t>
      </w:r>
      <w:r>
        <w:rPr>
          <w:rFonts w:ascii="宋体" w:hAnsi="宋体" w:eastAsia="宋体"/>
          <w:sz w:val="24"/>
          <w:szCs w:val="24"/>
        </w:rPr>
        <w:t>30</w:t>
      </w:r>
      <w:r>
        <w:rPr>
          <w:rFonts w:hint="eastAsia" w:ascii="宋体" w:hAnsi="宋体" w:eastAsia="宋体"/>
          <w:sz w:val="24"/>
          <w:szCs w:val="24"/>
        </w:rPr>
        <w:t>日内与招标人签订施工合同。中标人不与招标人订立合同的，投标保证金不予退</w:t>
      </w:r>
      <w:r>
        <w:rPr>
          <w:rFonts w:hint="eastAsia" w:ascii="宋体" w:hAnsi="宋体" w:eastAsia="宋体"/>
          <w:snapToGrid w:val="0"/>
          <w:sz w:val="24"/>
          <w:szCs w:val="24"/>
        </w:rPr>
        <w:t>还并取消其中标资格，给招标人造成的损失超过投标保证金数额的，应当对超过部分予以赔偿。</w:t>
      </w:r>
    </w:p>
    <w:p>
      <w:pPr>
        <w:tabs>
          <w:tab w:val="left" w:pos="0"/>
          <w:tab w:val="left" w:pos="1002"/>
          <w:tab w:val="left" w:pos="1134"/>
        </w:tabs>
        <w:adjustRightInd w:val="0"/>
        <w:snapToGrid w:val="0"/>
        <w:spacing w:line="500" w:lineRule="exact"/>
        <w:ind w:firstLine="482" w:firstLineChars="200"/>
        <w:jc w:val="both"/>
        <w:rPr>
          <w:rFonts w:ascii="宋体" w:hAnsi="宋体" w:eastAsia="宋体"/>
          <w:b/>
          <w:snapToGrid w:val="0"/>
          <w:sz w:val="24"/>
          <w:szCs w:val="24"/>
        </w:rPr>
      </w:pPr>
      <w:bookmarkStart w:id="48" w:name="_Toc329097748"/>
      <w:r>
        <w:rPr>
          <w:rFonts w:hint="eastAsia" w:ascii="宋体" w:hAnsi="宋体" w:eastAsia="宋体"/>
          <w:b/>
          <w:snapToGrid w:val="0"/>
          <w:sz w:val="24"/>
          <w:szCs w:val="24"/>
        </w:rPr>
        <w:t>（二十四）合同签订</w:t>
      </w:r>
      <w:bookmarkEnd w:id="48"/>
    </w:p>
    <w:p>
      <w:pPr>
        <w:tabs>
          <w:tab w:val="left" w:pos="0"/>
          <w:tab w:val="left" w:pos="1002"/>
          <w:tab w:val="left" w:pos="1134"/>
        </w:tabs>
        <w:adjustRightInd w:val="0"/>
        <w:snapToGrid w:val="0"/>
        <w:spacing w:line="500" w:lineRule="exact"/>
        <w:ind w:firstLine="480" w:firstLineChars="200"/>
        <w:jc w:val="both"/>
        <w:rPr>
          <w:rFonts w:ascii="宋体" w:hAnsi="宋体" w:eastAsia="宋体"/>
          <w:snapToGrid w:val="0"/>
          <w:sz w:val="24"/>
          <w:szCs w:val="24"/>
        </w:rPr>
      </w:pPr>
      <w:r>
        <w:rPr>
          <w:rFonts w:hint="eastAsia" w:ascii="宋体" w:hAnsi="宋体" w:eastAsia="宋体"/>
          <w:snapToGrid w:val="0"/>
          <w:sz w:val="24"/>
          <w:szCs w:val="24"/>
        </w:rPr>
        <w:t>招标人与中标人将根据《中华人民共和国合同法》的规定，依据招标文件和投标文件签订施工合同。</w:t>
      </w:r>
    </w:p>
    <w:p>
      <w:pPr>
        <w:pStyle w:val="4"/>
        <w:snapToGrid w:val="0"/>
        <w:spacing w:before="0" w:after="0" w:line="360" w:lineRule="auto"/>
        <w:jc w:val="left"/>
        <w:rPr>
          <w:rFonts w:ascii="宋体" w:hAnsi="宋体" w:eastAsia="宋体"/>
          <w:b w:val="0"/>
          <w:snapToGrid w:val="0"/>
        </w:rPr>
      </w:pPr>
      <w:bookmarkStart w:id="49" w:name="_Toc329097751"/>
      <w:r>
        <w:rPr>
          <w:snapToGrid w:val="0"/>
        </w:rPr>
        <w:br w:type="page"/>
      </w:r>
      <w:bookmarkStart w:id="50" w:name="_Toc29750"/>
      <w:r>
        <w:rPr>
          <w:rFonts w:hint="eastAsia" w:ascii="宋体" w:hAnsi="宋体" w:eastAsia="宋体"/>
          <w:sz w:val="36"/>
          <w:szCs w:val="36"/>
        </w:rPr>
        <w:t>附件：评标办法（综合评估法）</w:t>
      </w:r>
      <w:bookmarkEnd w:id="50"/>
    </w:p>
    <w:p>
      <w:pPr>
        <w:pStyle w:val="21"/>
        <w:adjustRightInd w:val="0"/>
        <w:snapToGrid w:val="0"/>
        <w:spacing w:line="360" w:lineRule="auto"/>
        <w:ind w:firstLine="480" w:firstLineChars="200"/>
        <w:rPr>
          <w:rFonts w:hAnsi="宋体" w:eastAsia="宋体"/>
          <w:sz w:val="24"/>
        </w:rPr>
      </w:pPr>
    </w:p>
    <w:p>
      <w:pPr>
        <w:pStyle w:val="21"/>
        <w:adjustRightInd w:val="0"/>
        <w:snapToGrid w:val="0"/>
        <w:spacing w:line="360" w:lineRule="auto"/>
        <w:ind w:firstLine="480" w:firstLineChars="200"/>
        <w:rPr>
          <w:rFonts w:hAnsi="宋体" w:eastAsia="宋体"/>
          <w:sz w:val="24"/>
        </w:rPr>
      </w:pPr>
      <w:r>
        <w:rPr>
          <w:rFonts w:hint="eastAsia" w:hAnsi="宋体" w:eastAsia="宋体"/>
          <w:sz w:val="24"/>
        </w:rPr>
        <w:t>一、总则</w:t>
      </w:r>
    </w:p>
    <w:p>
      <w:pPr>
        <w:pStyle w:val="21"/>
        <w:adjustRightInd w:val="0"/>
        <w:snapToGrid w:val="0"/>
        <w:spacing w:line="360" w:lineRule="auto"/>
        <w:ind w:firstLine="480" w:firstLineChars="200"/>
        <w:rPr>
          <w:rFonts w:hAnsi="宋体" w:eastAsia="宋体"/>
          <w:sz w:val="24"/>
          <w:szCs w:val="24"/>
        </w:rPr>
      </w:pPr>
      <w:r>
        <w:rPr>
          <w:rFonts w:hint="eastAsia" w:hAnsi="宋体" w:eastAsia="宋体"/>
          <w:sz w:val="24"/>
          <w:szCs w:val="24"/>
        </w:rPr>
        <w:t>本次招标采用综合评分法，由评标委员会对各投标人的投标价格、施工组织设计进行评审和比较，以评分形式进行评估。本综合评分法采用百分制形式，具体分值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Pr>
          <w:rFonts w:hAnsi="宋体" w:eastAsia="宋体"/>
          <w:b/>
          <w:sz w:val="24"/>
          <w:szCs w:val="24"/>
          <w:u w:val="single"/>
        </w:rPr>
        <w:t>2</w:t>
      </w:r>
      <w:r>
        <w:rPr>
          <w:rFonts w:hint="eastAsia" w:hAnsi="宋体" w:eastAsia="宋体"/>
          <w:b/>
          <w:sz w:val="24"/>
          <w:szCs w:val="24"/>
          <w:u w:val="single"/>
          <w:lang w:val="en-US" w:eastAsia="zh-CN"/>
        </w:rPr>
        <w:t>6.72</w:t>
      </w:r>
      <w:r>
        <w:rPr>
          <w:rFonts w:hint="eastAsia" w:hAnsi="宋体" w:eastAsia="宋体"/>
          <w:sz w:val="24"/>
          <w:szCs w:val="24"/>
        </w:rPr>
        <w:t>万元，超过或等于最高限价的投标报价，其投标将被拒绝。</w:t>
      </w:r>
    </w:p>
    <w:p>
      <w:pPr>
        <w:pStyle w:val="21"/>
        <w:adjustRightInd w:val="0"/>
        <w:snapToGrid w:val="0"/>
        <w:spacing w:line="360" w:lineRule="auto"/>
        <w:ind w:firstLine="480" w:firstLineChars="200"/>
        <w:rPr>
          <w:rFonts w:hAnsi="宋体" w:eastAsia="宋体"/>
          <w:sz w:val="24"/>
          <w:szCs w:val="24"/>
        </w:rPr>
      </w:pPr>
      <w:r>
        <w:rPr>
          <w:rFonts w:hint="eastAsia" w:hAnsi="宋体" w:eastAsia="宋体"/>
          <w:sz w:val="24"/>
          <w:szCs w:val="24"/>
        </w:rPr>
        <w:t xml:space="preserve"> </w:t>
      </w:r>
    </w:p>
    <w:p>
      <w:pPr>
        <w:pStyle w:val="21"/>
        <w:adjustRightInd w:val="0"/>
        <w:snapToGrid w:val="0"/>
        <w:spacing w:line="360" w:lineRule="auto"/>
        <w:ind w:firstLine="480" w:firstLineChars="200"/>
        <w:rPr>
          <w:rFonts w:hAnsi="宋体" w:eastAsia="宋体"/>
          <w:sz w:val="24"/>
          <w:szCs w:val="24"/>
        </w:rPr>
      </w:pPr>
    </w:p>
    <w:p>
      <w:pPr>
        <w:pStyle w:val="21"/>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二、评分细则</w:t>
      </w:r>
    </w:p>
    <w:tbl>
      <w:tblPr>
        <w:tblStyle w:val="40"/>
        <w:tblW w:w="9356"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5"/>
        <w:gridCol w:w="514"/>
        <w:gridCol w:w="2107"/>
        <w:gridCol w:w="606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18" w:hRule="atLeast"/>
          <w:tblHeader/>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条款号</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条款内容</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编列内容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1</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分值构成</w:t>
            </w:r>
          </w:p>
          <w:p>
            <w:pPr>
              <w:spacing w:line="360" w:lineRule="auto"/>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总分</w:t>
            </w:r>
            <w:r>
              <w:rPr>
                <w:rFonts w:asciiTheme="minorEastAsia" w:hAnsiTheme="minorEastAsia" w:eastAsiaTheme="minorEastAsia"/>
              </w:rPr>
              <w:t>100</w:t>
            </w:r>
            <w:r>
              <w:rPr>
                <w:rFonts w:hint="eastAsia" w:asciiTheme="minorEastAsia" w:hAnsiTheme="minorEastAsia" w:eastAsiaTheme="minorEastAsia"/>
              </w:rPr>
              <w:t>分</w:t>
            </w:r>
            <w:r>
              <w:rPr>
                <w:rFonts w:asciiTheme="minorEastAsia" w:hAnsiTheme="minorEastAsia" w:eastAsiaTheme="minorEastAsia"/>
              </w:rPr>
              <w:t>)</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）施工方案评分标准：10分</w:t>
            </w:r>
          </w:p>
          <w:p>
            <w:pPr>
              <w:spacing w:line="360" w:lineRule="auto"/>
              <w:jc w:val="both"/>
              <w:rPr>
                <w:rFonts w:asciiTheme="minorEastAsia" w:hAnsiTheme="minorEastAsia" w:eastAsiaTheme="minorEastAsia"/>
              </w:rPr>
            </w:pPr>
            <w:r>
              <w:rPr>
                <w:rFonts w:hint="eastAsia" w:asciiTheme="minorEastAsia" w:hAnsiTheme="minorEastAsia" w:eastAsiaTheme="minorEastAsia"/>
              </w:rPr>
              <w:t>（评标委员会根据投标文件中确定的评审要点，对投标文件的施工方案评分标准进行评分，除被评标委员会认定存在重大偏差外，投标文件的施工方案评分标准得分不应低于</w:t>
            </w:r>
            <w:r>
              <w:rPr>
                <w:rFonts w:asciiTheme="minorEastAsia" w:hAnsiTheme="minorEastAsia" w:eastAsiaTheme="minorEastAsia"/>
              </w:rPr>
              <w:t>70%</w:t>
            </w:r>
            <w:r>
              <w:rPr>
                <w:rFonts w:hint="eastAsia" w:asciiTheme="minorEastAsia" w:hAnsiTheme="minorEastAsia" w:eastAsiaTheme="minorEastAsia"/>
              </w:rPr>
              <w:t>。）</w:t>
            </w:r>
          </w:p>
          <w:p>
            <w:pPr>
              <w:spacing w:line="360" w:lineRule="auto"/>
              <w:jc w:val="both"/>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）投标报价：83分</w:t>
            </w:r>
          </w:p>
          <w:p>
            <w:pPr>
              <w:spacing w:line="360" w:lineRule="auto"/>
              <w:jc w:val="both"/>
              <w:rPr>
                <w:rFonts w:asciiTheme="minorEastAsia" w:hAnsiTheme="minorEastAsia" w:eastAsiaTheme="minorEastAsia"/>
              </w:rPr>
            </w:pPr>
            <w:r>
              <w:rPr>
                <w:rFonts w:hint="eastAsia" w:asciiTheme="minorEastAsia" w:hAnsiTheme="minorEastAsia" w:eastAsiaTheme="minorEastAsia"/>
              </w:rPr>
              <w:t>3）投标人业绩：1分</w:t>
            </w:r>
          </w:p>
          <w:p>
            <w:pPr>
              <w:spacing w:line="360" w:lineRule="auto"/>
              <w:jc w:val="both"/>
              <w:rPr>
                <w:rFonts w:asciiTheme="minorEastAsia" w:hAnsiTheme="minorEastAsia" w:eastAsiaTheme="minorEastAsia"/>
              </w:rPr>
            </w:pPr>
            <w:r>
              <w:rPr>
                <w:rFonts w:hint="eastAsia" w:asciiTheme="minorEastAsia" w:hAnsiTheme="minorEastAsia" w:eastAsiaTheme="minorEastAsia"/>
              </w:rPr>
              <w:t>4）投标材料的质量先进性、匹配性、可靠性、环保性、稳定性、等情况的评价：6分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2526" w:hRule="atLeast"/>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2</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评标基准价计算方法</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以有效投标文件的评标价算数平均值为A（若＜7家取全部有效投标人的算数平均值为A，若7≤有效投标〈10家时，去掉其中的一个最高价和一个最低价后取算数平均值为A；若有效投标文件≥10家时，去掉其中一个最高价、一个次高价和一个最低价、一个次低价后取算数平均值为A）</w:t>
            </w:r>
          </w:p>
          <w:p>
            <w:pPr>
              <w:spacing w:line="360" w:lineRule="auto"/>
              <w:jc w:val="both"/>
              <w:rPr>
                <w:rFonts w:asciiTheme="minorEastAsia" w:hAnsiTheme="minorEastAsia" w:eastAsiaTheme="minorEastAsia"/>
              </w:rPr>
            </w:pPr>
            <w:r>
              <w:rPr>
                <w:rFonts w:hint="eastAsia" w:asciiTheme="minorEastAsia" w:hAnsiTheme="minorEastAsia" w:eastAsiaTheme="minorEastAsia"/>
              </w:rPr>
              <w:t xml:space="preserve">评标基准价=A×K，K= 0.98。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556" w:hRule="atLeast"/>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3</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投标报价的偏差率</w:t>
            </w:r>
          </w:p>
          <w:p>
            <w:pPr>
              <w:spacing w:line="360" w:lineRule="auto"/>
              <w:jc w:val="both"/>
              <w:rPr>
                <w:rFonts w:asciiTheme="minorEastAsia" w:hAnsiTheme="minorEastAsia" w:eastAsiaTheme="minorEastAsia"/>
              </w:rPr>
            </w:pPr>
            <w:r>
              <w:rPr>
                <w:rFonts w:hint="eastAsia" w:asciiTheme="minorEastAsia" w:hAnsiTheme="minorEastAsia" w:eastAsiaTheme="minorEastAsia"/>
              </w:rPr>
              <w:t>计算公式</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偏差率</w:t>
            </w:r>
            <w:r>
              <w:rPr>
                <w:rFonts w:asciiTheme="minorEastAsia" w:hAnsiTheme="minorEastAsia" w:eastAsiaTheme="minorEastAsia"/>
              </w:rPr>
              <w:t>=100% ×</w:t>
            </w:r>
            <w:r>
              <w:rPr>
                <w:rFonts w:hint="eastAsia" w:asciiTheme="minorEastAsia" w:hAnsiTheme="minorEastAsia" w:eastAsiaTheme="minorEastAsia"/>
              </w:rPr>
              <w:t>（投标人报价</w:t>
            </w:r>
            <w:r>
              <w:rPr>
                <w:rFonts w:asciiTheme="minorEastAsia" w:hAnsiTheme="minorEastAsia" w:eastAsiaTheme="minorEastAsia"/>
              </w:rPr>
              <w:t xml:space="preserve"> - </w:t>
            </w:r>
            <w:r>
              <w:rPr>
                <w:rFonts w:hint="eastAsia" w:asciiTheme="minorEastAsia" w:hAnsiTheme="minorEastAsia" w:eastAsiaTheme="minorEastAsia"/>
              </w:rPr>
              <w:t>评标基准价）</w:t>
            </w:r>
            <w:r>
              <w:rPr>
                <w:rFonts w:asciiTheme="minorEastAsia" w:hAnsiTheme="minorEastAsia" w:eastAsiaTheme="minorEastAsia"/>
              </w:rPr>
              <w:t>/</w:t>
            </w:r>
            <w:r>
              <w:rPr>
                <w:rFonts w:hint="eastAsia" w:asciiTheme="minorEastAsia" w:hAnsiTheme="minorEastAsia" w:eastAsiaTheme="minorEastAsia"/>
              </w:rPr>
              <w:t>评标基准价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4(1)</w:t>
            </w:r>
          </w:p>
        </w:tc>
        <w:tc>
          <w:tcPr>
            <w:tcW w:w="514" w:type="dxa"/>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施工方案评分标准</w:t>
            </w:r>
          </w:p>
          <w:p>
            <w:pPr>
              <w:spacing w:line="360" w:lineRule="auto"/>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10分</w:t>
            </w:r>
            <w:r>
              <w:rPr>
                <w:rFonts w:asciiTheme="minorEastAsia" w:hAnsiTheme="minorEastAsia" w:eastAsiaTheme="minorEastAsia"/>
              </w:rPr>
              <w:t>)</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各分部分项工程有完整的施工方案</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优</w:t>
            </w:r>
            <w:r>
              <w:rPr>
                <w:rFonts w:asciiTheme="minorEastAsia" w:hAnsiTheme="minorEastAsia" w:eastAsiaTheme="minorEastAsia"/>
              </w:rPr>
              <w:t xml:space="preserve">: </w:t>
            </w:r>
            <w:r>
              <w:rPr>
                <w:rFonts w:hint="eastAsia" w:asciiTheme="minorEastAsia" w:hAnsiTheme="minorEastAsia" w:eastAsiaTheme="minorEastAsia"/>
              </w:rPr>
              <w:t>1分</w:t>
            </w:r>
            <w:r>
              <w:rPr>
                <w:rFonts w:asciiTheme="minorEastAsia" w:hAnsiTheme="minorEastAsia" w:eastAsiaTheme="minorEastAsia"/>
              </w:rPr>
              <w:t xml:space="preserve">; </w:t>
            </w:r>
            <w:r>
              <w:rPr>
                <w:rFonts w:hint="eastAsia" w:asciiTheme="minorEastAsia" w:hAnsiTheme="minorEastAsia" w:eastAsiaTheme="minorEastAsia"/>
              </w:rPr>
              <w:t>良</w:t>
            </w:r>
            <w:r>
              <w:rPr>
                <w:rFonts w:asciiTheme="minorEastAsia" w:hAnsiTheme="minorEastAsia" w:eastAsiaTheme="minorEastAsia"/>
              </w:rPr>
              <w:t xml:space="preserve">: </w:t>
            </w:r>
            <w:r>
              <w:rPr>
                <w:rFonts w:hint="eastAsia" w:asciiTheme="minorEastAsia" w:hAnsiTheme="minorEastAsia" w:eastAsiaTheme="minorEastAsia"/>
              </w:rPr>
              <w:t>0.9分</w:t>
            </w:r>
            <w:r>
              <w:rPr>
                <w:rFonts w:asciiTheme="minorEastAsia" w:hAnsiTheme="minorEastAsia" w:eastAsiaTheme="minorEastAsia"/>
              </w:rPr>
              <w:t>;</w:t>
            </w:r>
            <w:r>
              <w:rPr>
                <w:rFonts w:hint="eastAsia" w:asciiTheme="minorEastAsia" w:hAnsiTheme="minorEastAsia" w:eastAsiaTheme="minorEastAsia"/>
              </w:rPr>
              <w:t>中</w:t>
            </w:r>
            <w:r>
              <w:rPr>
                <w:rFonts w:asciiTheme="minorEastAsia" w:hAnsiTheme="minorEastAsia" w:eastAsiaTheme="minorEastAsia"/>
              </w:rPr>
              <w:t xml:space="preserve">: </w:t>
            </w:r>
            <w:r>
              <w:rPr>
                <w:rFonts w:hint="eastAsia" w:asciiTheme="minorEastAsia" w:hAnsiTheme="minorEastAsia" w:eastAsiaTheme="minorEastAsia"/>
              </w:rPr>
              <w:t>0.8分</w:t>
            </w:r>
            <w:r>
              <w:rPr>
                <w:rFonts w:asciiTheme="minorEastAsia" w:hAnsiTheme="minorEastAsia" w:eastAsiaTheme="minorEastAsia"/>
              </w:rPr>
              <w:t xml:space="preserve">; </w:t>
            </w:r>
            <w:r>
              <w:rPr>
                <w:rFonts w:hint="eastAsia" w:asciiTheme="minorEastAsia" w:hAnsiTheme="minorEastAsia" w:eastAsiaTheme="minorEastAsia"/>
              </w:rPr>
              <w:t>一般</w:t>
            </w:r>
            <w:r>
              <w:rPr>
                <w:rFonts w:asciiTheme="minorEastAsia" w:hAnsiTheme="minorEastAsia" w:eastAsiaTheme="minorEastAsia"/>
              </w:rPr>
              <w:t>:</w:t>
            </w:r>
            <w:r>
              <w:rPr>
                <w:rFonts w:hint="eastAsia" w:asciiTheme="minorEastAsia" w:hAnsiTheme="minorEastAsia" w:eastAsiaTheme="minorEastAsia"/>
              </w:rPr>
              <w:t>0.7分</w:t>
            </w:r>
            <w:r>
              <w:rPr>
                <w:rFonts w:asciiTheme="minorEastAsia" w:hAnsiTheme="minorEastAsia" w:eastAsiaTheme="minorEastAsia"/>
              </w:rPr>
              <w:t xml:space="preserve">; </w:t>
            </w:r>
            <w:r>
              <w:rPr>
                <w:rFonts w:hint="eastAsia" w:asciiTheme="minorEastAsia" w:hAnsiTheme="minorEastAsia" w:eastAsiaTheme="minorEastAsia"/>
              </w:rPr>
              <w:t>无</w:t>
            </w:r>
            <w:r>
              <w:rPr>
                <w:rFonts w:asciiTheme="minorEastAsia" w:hAnsiTheme="minorEastAsia" w:eastAsiaTheme="minorEastAsia"/>
              </w:rPr>
              <w:t>: 0</w:t>
            </w:r>
            <w:r>
              <w:rPr>
                <w:rFonts w:hint="eastAsia" w:asciiTheme="minorEastAsia" w:hAnsiTheme="minorEastAsia" w:eastAsiaTheme="minorEastAsia"/>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施工机械和工程材料进退场计划</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优</w:t>
            </w:r>
            <w:r>
              <w:rPr>
                <w:rFonts w:asciiTheme="minorEastAsia" w:hAnsiTheme="minorEastAsia" w:eastAsiaTheme="minorEastAsia"/>
              </w:rPr>
              <w:t xml:space="preserve">: </w:t>
            </w:r>
            <w:r>
              <w:rPr>
                <w:rFonts w:hint="eastAsia" w:asciiTheme="minorEastAsia" w:hAnsiTheme="minorEastAsia" w:eastAsiaTheme="minorEastAsia"/>
              </w:rPr>
              <w:t>1分</w:t>
            </w:r>
            <w:r>
              <w:rPr>
                <w:rFonts w:asciiTheme="minorEastAsia" w:hAnsiTheme="minorEastAsia" w:eastAsiaTheme="minorEastAsia"/>
              </w:rPr>
              <w:t xml:space="preserve">; </w:t>
            </w:r>
            <w:r>
              <w:rPr>
                <w:rFonts w:hint="eastAsia" w:asciiTheme="minorEastAsia" w:hAnsiTheme="minorEastAsia" w:eastAsiaTheme="minorEastAsia"/>
              </w:rPr>
              <w:t>良</w:t>
            </w:r>
            <w:r>
              <w:rPr>
                <w:rFonts w:asciiTheme="minorEastAsia" w:hAnsiTheme="minorEastAsia" w:eastAsiaTheme="minorEastAsia"/>
              </w:rPr>
              <w:t xml:space="preserve">: </w:t>
            </w:r>
            <w:r>
              <w:rPr>
                <w:rFonts w:hint="eastAsia" w:asciiTheme="minorEastAsia" w:hAnsiTheme="minorEastAsia" w:eastAsiaTheme="minorEastAsia"/>
              </w:rPr>
              <w:t>0.9分</w:t>
            </w:r>
            <w:r>
              <w:rPr>
                <w:rFonts w:asciiTheme="minorEastAsia" w:hAnsiTheme="minorEastAsia" w:eastAsiaTheme="minorEastAsia"/>
              </w:rPr>
              <w:t>;</w:t>
            </w:r>
            <w:r>
              <w:rPr>
                <w:rFonts w:hint="eastAsia" w:asciiTheme="minorEastAsia" w:hAnsiTheme="minorEastAsia" w:eastAsiaTheme="minorEastAsia"/>
              </w:rPr>
              <w:t>中</w:t>
            </w:r>
            <w:r>
              <w:rPr>
                <w:rFonts w:asciiTheme="minorEastAsia" w:hAnsiTheme="minorEastAsia" w:eastAsiaTheme="minorEastAsia"/>
              </w:rPr>
              <w:t xml:space="preserve">: </w:t>
            </w:r>
            <w:r>
              <w:rPr>
                <w:rFonts w:hint="eastAsia" w:asciiTheme="minorEastAsia" w:hAnsiTheme="minorEastAsia" w:eastAsiaTheme="minorEastAsia"/>
              </w:rPr>
              <w:t>0.8分</w:t>
            </w:r>
            <w:r>
              <w:rPr>
                <w:rFonts w:asciiTheme="minorEastAsia" w:hAnsiTheme="minorEastAsia" w:eastAsiaTheme="minorEastAsia"/>
              </w:rPr>
              <w:t xml:space="preserve">; </w:t>
            </w:r>
            <w:r>
              <w:rPr>
                <w:rFonts w:hint="eastAsia" w:asciiTheme="minorEastAsia" w:hAnsiTheme="minorEastAsia" w:eastAsiaTheme="minorEastAsia"/>
              </w:rPr>
              <w:t>一般</w:t>
            </w:r>
            <w:r>
              <w:rPr>
                <w:rFonts w:asciiTheme="minorEastAsia" w:hAnsiTheme="minorEastAsia" w:eastAsiaTheme="minorEastAsia"/>
              </w:rPr>
              <w:t>:</w:t>
            </w:r>
            <w:r>
              <w:rPr>
                <w:rFonts w:hint="eastAsia" w:asciiTheme="minorEastAsia" w:hAnsiTheme="minorEastAsia" w:eastAsiaTheme="minorEastAsia"/>
              </w:rPr>
              <w:t>0.7分</w:t>
            </w:r>
            <w:r>
              <w:rPr>
                <w:rFonts w:asciiTheme="minorEastAsia" w:hAnsiTheme="minorEastAsia" w:eastAsiaTheme="minorEastAsia"/>
              </w:rPr>
              <w:t xml:space="preserve">; </w:t>
            </w:r>
            <w:r>
              <w:rPr>
                <w:rFonts w:hint="eastAsia" w:asciiTheme="minorEastAsia" w:hAnsiTheme="minorEastAsia" w:eastAsiaTheme="minorEastAsia"/>
              </w:rPr>
              <w:t>无</w:t>
            </w:r>
            <w:r>
              <w:rPr>
                <w:rFonts w:asciiTheme="minorEastAsia" w:hAnsiTheme="minorEastAsia" w:eastAsiaTheme="minorEastAsia"/>
              </w:rPr>
              <w:t>: 0</w:t>
            </w:r>
            <w:r>
              <w:rPr>
                <w:rFonts w:hint="eastAsia" w:asciiTheme="minorEastAsia" w:hAnsiTheme="minorEastAsia" w:eastAsiaTheme="minorEastAsia"/>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13" w:hRule="atLeast"/>
        </w:trPr>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依据本招标文件和本工程设计图纸施工现场平面布置图合理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优</w:t>
            </w:r>
            <w:r>
              <w:rPr>
                <w:rFonts w:asciiTheme="minorEastAsia" w:hAnsiTheme="minorEastAsia" w:eastAsiaTheme="minorEastAsia"/>
              </w:rPr>
              <w:t xml:space="preserve">: </w:t>
            </w:r>
            <w:r>
              <w:rPr>
                <w:rFonts w:hint="eastAsia" w:asciiTheme="minorEastAsia" w:hAnsiTheme="minorEastAsia" w:eastAsiaTheme="minorEastAsia"/>
              </w:rPr>
              <w:t>1分</w:t>
            </w:r>
            <w:r>
              <w:rPr>
                <w:rFonts w:asciiTheme="minorEastAsia" w:hAnsiTheme="minorEastAsia" w:eastAsiaTheme="minorEastAsia"/>
              </w:rPr>
              <w:t xml:space="preserve">; </w:t>
            </w:r>
            <w:r>
              <w:rPr>
                <w:rFonts w:hint="eastAsia" w:asciiTheme="minorEastAsia" w:hAnsiTheme="minorEastAsia" w:eastAsiaTheme="minorEastAsia"/>
              </w:rPr>
              <w:t>良</w:t>
            </w:r>
            <w:r>
              <w:rPr>
                <w:rFonts w:asciiTheme="minorEastAsia" w:hAnsiTheme="minorEastAsia" w:eastAsiaTheme="minorEastAsia"/>
              </w:rPr>
              <w:t xml:space="preserve">: </w:t>
            </w:r>
            <w:r>
              <w:rPr>
                <w:rFonts w:hint="eastAsia" w:asciiTheme="minorEastAsia" w:hAnsiTheme="minorEastAsia" w:eastAsiaTheme="minorEastAsia"/>
              </w:rPr>
              <w:t>0.9分</w:t>
            </w:r>
            <w:r>
              <w:rPr>
                <w:rFonts w:asciiTheme="minorEastAsia" w:hAnsiTheme="minorEastAsia" w:eastAsiaTheme="minorEastAsia"/>
              </w:rPr>
              <w:t>;</w:t>
            </w:r>
            <w:r>
              <w:rPr>
                <w:rFonts w:hint="eastAsia" w:asciiTheme="minorEastAsia" w:hAnsiTheme="minorEastAsia" w:eastAsiaTheme="minorEastAsia"/>
              </w:rPr>
              <w:t>中</w:t>
            </w:r>
            <w:r>
              <w:rPr>
                <w:rFonts w:asciiTheme="minorEastAsia" w:hAnsiTheme="minorEastAsia" w:eastAsiaTheme="minorEastAsia"/>
              </w:rPr>
              <w:t xml:space="preserve">: </w:t>
            </w:r>
            <w:r>
              <w:rPr>
                <w:rFonts w:hint="eastAsia" w:asciiTheme="minorEastAsia" w:hAnsiTheme="minorEastAsia" w:eastAsiaTheme="minorEastAsia"/>
              </w:rPr>
              <w:t>0.8分</w:t>
            </w:r>
            <w:r>
              <w:rPr>
                <w:rFonts w:asciiTheme="minorEastAsia" w:hAnsiTheme="minorEastAsia" w:eastAsiaTheme="minorEastAsia"/>
              </w:rPr>
              <w:t xml:space="preserve">; </w:t>
            </w:r>
            <w:r>
              <w:rPr>
                <w:rFonts w:hint="eastAsia" w:asciiTheme="minorEastAsia" w:hAnsiTheme="minorEastAsia" w:eastAsiaTheme="minorEastAsia"/>
              </w:rPr>
              <w:t>一般</w:t>
            </w:r>
            <w:r>
              <w:rPr>
                <w:rFonts w:asciiTheme="minorEastAsia" w:hAnsiTheme="minorEastAsia" w:eastAsiaTheme="minorEastAsia"/>
              </w:rPr>
              <w:t>:</w:t>
            </w:r>
            <w:r>
              <w:rPr>
                <w:rFonts w:hint="eastAsia" w:asciiTheme="minorEastAsia" w:hAnsiTheme="minorEastAsia" w:eastAsiaTheme="minorEastAsia"/>
              </w:rPr>
              <w:t>0.7分</w:t>
            </w:r>
            <w:r>
              <w:rPr>
                <w:rFonts w:asciiTheme="minorEastAsia" w:hAnsiTheme="minorEastAsia" w:eastAsiaTheme="minorEastAsia"/>
              </w:rPr>
              <w:t xml:space="preserve">; </w:t>
            </w:r>
            <w:r>
              <w:rPr>
                <w:rFonts w:hint="eastAsia" w:asciiTheme="minorEastAsia" w:hAnsiTheme="minorEastAsia" w:eastAsiaTheme="minorEastAsia"/>
              </w:rPr>
              <w:t>无</w:t>
            </w:r>
            <w:r>
              <w:rPr>
                <w:rFonts w:asciiTheme="minorEastAsia" w:hAnsiTheme="minorEastAsia" w:eastAsiaTheme="minorEastAsia"/>
              </w:rPr>
              <w:t>: 0</w:t>
            </w:r>
            <w:r>
              <w:rPr>
                <w:rFonts w:hint="eastAsia" w:asciiTheme="minorEastAsia" w:hAnsiTheme="minorEastAsia" w:eastAsiaTheme="minorEastAsia"/>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确保工程质量所采取的具体措施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优</w:t>
            </w:r>
            <w:r>
              <w:rPr>
                <w:rFonts w:asciiTheme="minorEastAsia" w:hAnsiTheme="minorEastAsia" w:eastAsiaTheme="minorEastAsia"/>
              </w:rPr>
              <w:t>: 2</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良</w:t>
            </w:r>
            <w:r>
              <w:rPr>
                <w:rFonts w:asciiTheme="minorEastAsia" w:hAnsiTheme="minorEastAsia" w:eastAsiaTheme="minorEastAsia"/>
              </w:rPr>
              <w:t>: 1.8</w:t>
            </w:r>
            <w:r>
              <w:rPr>
                <w:rFonts w:hint="eastAsia" w:asciiTheme="minorEastAsia" w:hAnsiTheme="minorEastAsia" w:eastAsiaTheme="minorEastAsia"/>
              </w:rPr>
              <w:t>分</w:t>
            </w:r>
            <w:r>
              <w:rPr>
                <w:rFonts w:asciiTheme="minorEastAsia" w:hAnsiTheme="minorEastAsia" w:eastAsiaTheme="minorEastAsia"/>
              </w:rPr>
              <w:t>;</w:t>
            </w:r>
            <w:r>
              <w:rPr>
                <w:rFonts w:hint="eastAsia" w:asciiTheme="minorEastAsia" w:hAnsiTheme="minorEastAsia" w:eastAsiaTheme="minorEastAsia"/>
              </w:rPr>
              <w:t>中</w:t>
            </w:r>
            <w:r>
              <w:rPr>
                <w:rFonts w:asciiTheme="minorEastAsia" w:hAnsiTheme="minorEastAsia" w:eastAsiaTheme="minorEastAsia"/>
              </w:rPr>
              <w:t>: 1.6</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一般</w:t>
            </w:r>
            <w:r>
              <w:rPr>
                <w:rFonts w:asciiTheme="minorEastAsia" w:hAnsiTheme="minorEastAsia" w:eastAsiaTheme="minorEastAsia"/>
              </w:rPr>
              <w:t>:1.4</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无</w:t>
            </w:r>
            <w:r>
              <w:rPr>
                <w:rFonts w:asciiTheme="minorEastAsia" w:hAnsiTheme="minorEastAsia" w:eastAsiaTheme="minorEastAsia"/>
              </w:rPr>
              <w:t>: 0</w:t>
            </w:r>
            <w:r>
              <w:rPr>
                <w:rFonts w:hint="eastAsia" w:asciiTheme="minorEastAsia" w:hAnsiTheme="minorEastAsia" w:eastAsiaTheme="minorEastAsia"/>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确保工程进度所采取的具体措施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优</w:t>
            </w:r>
            <w:r>
              <w:rPr>
                <w:rFonts w:asciiTheme="minorEastAsia" w:hAnsiTheme="minorEastAsia" w:eastAsiaTheme="minorEastAsia"/>
              </w:rPr>
              <w:t>: 2</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良</w:t>
            </w:r>
            <w:r>
              <w:rPr>
                <w:rFonts w:asciiTheme="minorEastAsia" w:hAnsiTheme="minorEastAsia" w:eastAsiaTheme="minorEastAsia"/>
              </w:rPr>
              <w:t>: 1.8</w:t>
            </w:r>
            <w:r>
              <w:rPr>
                <w:rFonts w:hint="eastAsia" w:asciiTheme="minorEastAsia" w:hAnsiTheme="minorEastAsia" w:eastAsiaTheme="minorEastAsia"/>
              </w:rPr>
              <w:t>分</w:t>
            </w:r>
            <w:r>
              <w:rPr>
                <w:rFonts w:asciiTheme="minorEastAsia" w:hAnsiTheme="minorEastAsia" w:eastAsiaTheme="minorEastAsia"/>
              </w:rPr>
              <w:t>;</w:t>
            </w:r>
            <w:r>
              <w:rPr>
                <w:rFonts w:hint="eastAsia" w:asciiTheme="minorEastAsia" w:hAnsiTheme="minorEastAsia" w:eastAsiaTheme="minorEastAsia"/>
              </w:rPr>
              <w:t>中</w:t>
            </w:r>
            <w:r>
              <w:rPr>
                <w:rFonts w:asciiTheme="minorEastAsia" w:hAnsiTheme="minorEastAsia" w:eastAsiaTheme="minorEastAsia"/>
              </w:rPr>
              <w:t>: 1.6</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一般</w:t>
            </w:r>
            <w:r>
              <w:rPr>
                <w:rFonts w:asciiTheme="minorEastAsia" w:hAnsiTheme="minorEastAsia" w:eastAsiaTheme="minorEastAsia"/>
              </w:rPr>
              <w:t>:1.4</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无</w:t>
            </w:r>
            <w:r>
              <w:rPr>
                <w:rFonts w:asciiTheme="minorEastAsia" w:hAnsiTheme="minorEastAsia" w:eastAsiaTheme="minorEastAsia"/>
              </w:rPr>
              <w:t>: 0</w:t>
            </w:r>
            <w:r>
              <w:rPr>
                <w:rFonts w:hint="eastAsia" w:asciiTheme="minorEastAsia" w:hAnsiTheme="minorEastAsia" w:eastAsiaTheme="minorEastAsia"/>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保证安全、文明施工,减 少扰 民降低环境污染和噪音措施、保护周边道路、防止环境污染措施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优</w:t>
            </w:r>
            <w:r>
              <w:rPr>
                <w:rFonts w:asciiTheme="minorEastAsia" w:hAnsiTheme="minorEastAsia" w:eastAsiaTheme="minorEastAsia"/>
              </w:rPr>
              <w:t>: 2</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良</w:t>
            </w:r>
            <w:r>
              <w:rPr>
                <w:rFonts w:asciiTheme="minorEastAsia" w:hAnsiTheme="minorEastAsia" w:eastAsiaTheme="minorEastAsia"/>
              </w:rPr>
              <w:t>: 1.8</w:t>
            </w:r>
            <w:r>
              <w:rPr>
                <w:rFonts w:hint="eastAsia" w:asciiTheme="minorEastAsia" w:hAnsiTheme="minorEastAsia" w:eastAsiaTheme="minorEastAsia"/>
              </w:rPr>
              <w:t>分</w:t>
            </w:r>
            <w:r>
              <w:rPr>
                <w:rFonts w:asciiTheme="minorEastAsia" w:hAnsiTheme="minorEastAsia" w:eastAsiaTheme="minorEastAsia"/>
              </w:rPr>
              <w:t>;</w:t>
            </w:r>
            <w:r>
              <w:rPr>
                <w:rFonts w:hint="eastAsia" w:asciiTheme="minorEastAsia" w:hAnsiTheme="minorEastAsia" w:eastAsiaTheme="minorEastAsia"/>
              </w:rPr>
              <w:t>中</w:t>
            </w:r>
            <w:r>
              <w:rPr>
                <w:rFonts w:asciiTheme="minorEastAsia" w:hAnsiTheme="minorEastAsia" w:eastAsiaTheme="minorEastAsia"/>
              </w:rPr>
              <w:t>: 1.6</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一般</w:t>
            </w:r>
            <w:r>
              <w:rPr>
                <w:rFonts w:asciiTheme="minorEastAsia" w:hAnsiTheme="minorEastAsia" w:eastAsiaTheme="minorEastAsia"/>
              </w:rPr>
              <w:t>:1.4</w:t>
            </w:r>
            <w:r>
              <w:rPr>
                <w:rFonts w:hint="eastAsia" w:asciiTheme="minorEastAsia" w:hAnsiTheme="minorEastAsia" w:eastAsiaTheme="minorEastAsia"/>
              </w:rPr>
              <w:t>分</w:t>
            </w:r>
            <w:r>
              <w:rPr>
                <w:rFonts w:asciiTheme="minorEastAsia" w:hAnsiTheme="minorEastAsia" w:eastAsiaTheme="minorEastAsia"/>
              </w:rPr>
              <w:t xml:space="preserve">; </w:t>
            </w:r>
            <w:r>
              <w:rPr>
                <w:rFonts w:hint="eastAsia" w:asciiTheme="minorEastAsia" w:hAnsiTheme="minorEastAsia" w:eastAsiaTheme="minorEastAsia"/>
              </w:rPr>
              <w:t>无</w:t>
            </w:r>
            <w:r>
              <w:rPr>
                <w:rFonts w:asciiTheme="minorEastAsia" w:hAnsiTheme="minorEastAsia" w:eastAsiaTheme="minorEastAsia"/>
              </w:rPr>
              <w:t>: 0</w:t>
            </w:r>
            <w:r>
              <w:rPr>
                <w:rFonts w:hint="eastAsia" w:asciiTheme="minorEastAsia" w:hAnsiTheme="minorEastAsia" w:eastAsiaTheme="minorEastAsia"/>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依据本招标文件和本工程设计图纸对本工程的重点、难点、特殊部位处理,有详细的处理方法</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优</w:t>
            </w:r>
            <w:r>
              <w:rPr>
                <w:rFonts w:asciiTheme="minorEastAsia" w:hAnsiTheme="minorEastAsia" w:eastAsiaTheme="minorEastAsia"/>
              </w:rPr>
              <w:t xml:space="preserve">: </w:t>
            </w:r>
            <w:r>
              <w:rPr>
                <w:rFonts w:hint="eastAsia" w:asciiTheme="minorEastAsia" w:hAnsiTheme="minorEastAsia" w:eastAsiaTheme="minorEastAsia"/>
              </w:rPr>
              <w:t>1分</w:t>
            </w:r>
            <w:r>
              <w:rPr>
                <w:rFonts w:asciiTheme="minorEastAsia" w:hAnsiTheme="minorEastAsia" w:eastAsiaTheme="minorEastAsia"/>
              </w:rPr>
              <w:t xml:space="preserve">; </w:t>
            </w:r>
            <w:r>
              <w:rPr>
                <w:rFonts w:hint="eastAsia" w:asciiTheme="minorEastAsia" w:hAnsiTheme="minorEastAsia" w:eastAsiaTheme="minorEastAsia"/>
              </w:rPr>
              <w:t>良</w:t>
            </w:r>
            <w:r>
              <w:rPr>
                <w:rFonts w:asciiTheme="minorEastAsia" w:hAnsiTheme="minorEastAsia" w:eastAsiaTheme="minorEastAsia"/>
              </w:rPr>
              <w:t xml:space="preserve">: </w:t>
            </w:r>
            <w:r>
              <w:rPr>
                <w:rFonts w:hint="eastAsia" w:asciiTheme="minorEastAsia" w:hAnsiTheme="minorEastAsia" w:eastAsiaTheme="minorEastAsia"/>
              </w:rPr>
              <w:t>0.9分</w:t>
            </w:r>
            <w:r>
              <w:rPr>
                <w:rFonts w:asciiTheme="minorEastAsia" w:hAnsiTheme="minorEastAsia" w:eastAsiaTheme="minorEastAsia"/>
              </w:rPr>
              <w:t>;</w:t>
            </w:r>
            <w:r>
              <w:rPr>
                <w:rFonts w:hint="eastAsia" w:asciiTheme="minorEastAsia" w:hAnsiTheme="minorEastAsia" w:eastAsiaTheme="minorEastAsia"/>
              </w:rPr>
              <w:t>中</w:t>
            </w:r>
            <w:r>
              <w:rPr>
                <w:rFonts w:asciiTheme="minorEastAsia" w:hAnsiTheme="minorEastAsia" w:eastAsiaTheme="minorEastAsia"/>
              </w:rPr>
              <w:t xml:space="preserve">: </w:t>
            </w:r>
            <w:r>
              <w:rPr>
                <w:rFonts w:hint="eastAsia" w:asciiTheme="minorEastAsia" w:hAnsiTheme="minorEastAsia" w:eastAsiaTheme="minorEastAsia"/>
              </w:rPr>
              <w:t>0.8分</w:t>
            </w:r>
            <w:r>
              <w:rPr>
                <w:rFonts w:asciiTheme="minorEastAsia" w:hAnsiTheme="minorEastAsia" w:eastAsiaTheme="minorEastAsia"/>
              </w:rPr>
              <w:t xml:space="preserve">; </w:t>
            </w:r>
            <w:r>
              <w:rPr>
                <w:rFonts w:hint="eastAsia" w:asciiTheme="minorEastAsia" w:hAnsiTheme="minorEastAsia" w:eastAsiaTheme="minorEastAsia"/>
              </w:rPr>
              <w:t>一般</w:t>
            </w:r>
            <w:r>
              <w:rPr>
                <w:rFonts w:asciiTheme="minorEastAsia" w:hAnsiTheme="minorEastAsia" w:eastAsiaTheme="minorEastAsia"/>
              </w:rPr>
              <w:t>:</w:t>
            </w:r>
            <w:r>
              <w:rPr>
                <w:rFonts w:hint="eastAsia" w:asciiTheme="minorEastAsia" w:hAnsiTheme="minorEastAsia" w:eastAsiaTheme="minorEastAsia"/>
              </w:rPr>
              <w:t>0.7分</w:t>
            </w:r>
            <w:r>
              <w:rPr>
                <w:rFonts w:asciiTheme="minorEastAsia" w:hAnsiTheme="minorEastAsia" w:eastAsiaTheme="minorEastAsia"/>
              </w:rPr>
              <w:t xml:space="preserve">; </w:t>
            </w:r>
            <w:r>
              <w:rPr>
                <w:rFonts w:hint="eastAsia" w:asciiTheme="minorEastAsia" w:hAnsiTheme="minorEastAsia" w:eastAsiaTheme="minorEastAsia"/>
              </w:rPr>
              <w:t>无</w:t>
            </w:r>
            <w:r>
              <w:rPr>
                <w:rFonts w:asciiTheme="minorEastAsia" w:hAnsiTheme="minorEastAsia" w:eastAsiaTheme="minorEastAsia"/>
              </w:rPr>
              <w:t>: 0</w:t>
            </w:r>
            <w:r>
              <w:rPr>
                <w:rFonts w:hint="eastAsia" w:asciiTheme="minorEastAsia" w:hAnsiTheme="minorEastAsia" w:eastAsiaTheme="minorEastAsia"/>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697" w:hRule="atLeast"/>
        </w:trPr>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2</w:t>
            </w:r>
            <w:r>
              <w:rPr>
                <w:rFonts w:asciiTheme="minorEastAsia" w:hAnsiTheme="minorEastAsia" w:eastAsiaTheme="minorEastAsia"/>
              </w:rPr>
              <w:t>)</w:t>
            </w:r>
          </w:p>
        </w:tc>
        <w:tc>
          <w:tcPr>
            <w:tcW w:w="514" w:type="dxa"/>
            <w:tcBorders>
              <w:top w:val="outset" w:color="auto" w:sz="6" w:space="0"/>
              <w:left w:val="outset" w:color="auto" w:sz="6" w:space="0"/>
              <w:bottom w:val="outset" w:color="auto" w:sz="6" w:space="0"/>
              <w:right w:val="single" w:color="auto" w:sz="4"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投标报价（83分）</w:t>
            </w:r>
          </w:p>
        </w:tc>
        <w:tc>
          <w:tcPr>
            <w:tcW w:w="2107" w:type="dxa"/>
            <w:tcBorders>
              <w:top w:val="outset" w:color="auto" w:sz="6" w:space="0"/>
              <w:left w:val="single" w:color="auto" w:sz="4"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偏差率</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各投标人的评标价与评标基准价相比，等于评标基准价的的满分83分，其他投标人的投标报价每高于评标基准价一个百分点扣0.5分，每低于评标基准价一个百分点扣</w:t>
            </w:r>
            <w:r>
              <w:rPr>
                <w:rFonts w:asciiTheme="minorEastAsia" w:hAnsiTheme="minorEastAsia" w:eastAsiaTheme="minorEastAsia"/>
              </w:rPr>
              <w:t>0.</w:t>
            </w:r>
            <w:r>
              <w:rPr>
                <w:rFonts w:hint="eastAsia" w:asciiTheme="minorEastAsia" w:hAnsiTheme="minorEastAsia" w:eastAsiaTheme="minorEastAsia"/>
              </w:rPr>
              <w:t>3分，不足一个百分点的按插入法计算（小数点后保留二位，第三位四舍五入）。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3</w:t>
            </w:r>
            <w:r>
              <w:rPr>
                <w:rFonts w:asciiTheme="minorEastAsia" w:hAnsiTheme="minorEastAsia" w:eastAsiaTheme="minorEastAsia"/>
              </w:rPr>
              <w:t>)</w:t>
            </w:r>
          </w:p>
        </w:tc>
        <w:tc>
          <w:tcPr>
            <w:tcW w:w="2621"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投标人业绩(1分)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企业业绩：</w:t>
            </w:r>
            <w:r>
              <w:rPr>
                <w:rFonts w:asciiTheme="minorEastAsia" w:hAnsiTheme="minorEastAsia" w:eastAsiaTheme="minorEastAsia"/>
              </w:rPr>
              <w:t>201</w:t>
            </w:r>
            <w:r>
              <w:rPr>
                <w:rFonts w:hint="eastAsia" w:asciiTheme="minorEastAsia" w:hAnsiTheme="minorEastAsia" w:eastAsiaTheme="minorEastAsia"/>
              </w:rPr>
              <w:t>6年1月</w:t>
            </w:r>
            <w:r>
              <w:rPr>
                <w:rFonts w:asciiTheme="minorEastAsia" w:hAnsiTheme="minorEastAsia" w:eastAsiaTheme="minorEastAsia"/>
              </w:rPr>
              <w:t>1</w:t>
            </w:r>
            <w:r>
              <w:rPr>
                <w:rFonts w:hint="eastAsia" w:asciiTheme="minorEastAsia" w:hAnsiTheme="minorEastAsia" w:eastAsiaTheme="minorEastAsia"/>
              </w:rPr>
              <w:t>日（以合同签订时间为准）至今承担过合同总价在人民币</w:t>
            </w:r>
            <w:r>
              <w:rPr>
                <w:rFonts w:hint="eastAsia" w:asciiTheme="minorEastAsia" w:hAnsiTheme="minorEastAsia" w:eastAsiaTheme="minorEastAsia"/>
                <w:b/>
              </w:rPr>
              <w:t>30万元</w:t>
            </w:r>
            <w:r>
              <w:rPr>
                <w:rFonts w:hint="eastAsia" w:asciiTheme="minorEastAsia" w:hAnsiTheme="minorEastAsia" w:eastAsiaTheme="minorEastAsia"/>
              </w:rPr>
              <w:t>及以上与本项目类似合同。有</w:t>
            </w:r>
            <w:r>
              <w:rPr>
                <w:rFonts w:asciiTheme="minorEastAsia" w:hAnsiTheme="minorEastAsia" w:eastAsiaTheme="minorEastAsia"/>
              </w:rPr>
              <w:t>1</w:t>
            </w:r>
            <w:r>
              <w:rPr>
                <w:rFonts w:hint="eastAsia" w:asciiTheme="minorEastAsia" w:hAnsiTheme="minorEastAsia" w:eastAsiaTheme="minorEastAsia"/>
              </w:rPr>
              <w:t>个得0.5分，最高不超过1分。</w:t>
            </w:r>
            <w:r>
              <w:rPr>
                <w:rFonts w:hint="eastAsia" w:asciiTheme="minorEastAsia" w:hAnsiTheme="minorEastAsia" w:eastAsiaTheme="minorEastAsia"/>
                <w:b/>
              </w:rPr>
              <w:t>提供施工合同复印件、中标通知书、竣工验收报告加盖投标人公章，注明合同甲方联系人及联系方式。原件备查。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293" w:hRule="atLeast"/>
        </w:trPr>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4</w:t>
            </w:r>
            <w:r>
              <w:rPr>
                <w:rFonts w:asciiTheme="minorEastAsia" w:hAnsiTheme="minorEastAsia" w:eastAsiaTheme="minorEastAsia"/>
              </w:rPr>
              <w:t>)</w:t>
            </w:r>
          </w:p>
        </w:tc>
        <w:tc>
          <w:tcPr>
            <w:tcW w:w="2621"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投标材料的质量先进性、匹配性、可靠性、稳定性、环保性等情况的评价(6分)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rPr>
            </w:pPr>
            <w:r>
              <w:rPr>
                <w:rFonts w:hint="eastAsia" w:asciiTheme="minorEastAsia" w:hAnsiTheme="minorEastAsia" w:eastAsiaTheme="minorEastAsia"/>
              </w:rPr>
              <w:t>评委根据投标材料的档次、影响力及产品的环保性先进性、可靠性、稳定性等方面进行综合评价，好得5-6分，较好得2-4分，一般得0-1分；满分6分。</w:t>
            </w:r>
          </w:p>
        </w:tc>
      </w:tr>
    </w:tbl>
    <w:p>
      <w:pPr>
        <w:pStyle w:val="38"/>
        <w:rPr>
          <w:rFonts w:ascii="宋体" w:hAnsi="宋体" w:eastAsia="宋体"/>
          <w:snapToGrid w:val="0"/>
        </w:rPr>
      </w:pPr>
      <w:bookmarkStart w:id="51" w:name="_Toc11509"/>
      <w:r>
        <w:rPr>
          <w:rFonts w:hint="eastAsia" w:ascii="宋体" w:hAnsi="宋体" w:eastAsia="宋体"/>
          <w:snapToGrid w:val="0"/>
        </w:rPr>
        <w:t>第二章</w:t>
      </w:r>
      <w:r>
        <w:rPr>
          <w:rFonts w:ascii="宋体" w:hAnsi="宋体" w:eastAsia="宋体"/>
          <w:snapToGrid w:val="0"/>
        </w:rPr>
        <w:t xml:space="preserve"> </w:t>
      </w:r>
      <w:r>
        <w:rPr>
          <w:rFonts w:hint="eastAsia" w:ascii="宋体" w:hAnsi="宋体" w:eastAsia="宋体"/>
          <w:snapToGrid w:val="0"/>
        </w:rPr>
        <w:t>合同</w:t>
      </w:r>
      <w:bookmarkEnd w:id="51"/>
    </w:p>
    <w:p/>
    <w:p/>
    <w:p/>
    <w:p>
      <w:pPr>
        <w:widowControl w:val="0"/>
        <w:spacing w:line="300" w:lineRule="auto"/>
        <w:jc w:val="center"/>
        <w:rPr>
          <w:rFonts w:ascii="仿宋" w:hAnsi="仿宋" w:eastAsia="仿宋"/>
          <w:sz w:val="52"/>
          <w:szCs w:val="52"/>
        </w:rPr>
      </w:pPr>
      <w:r>
        <w:rPr>
          <w:rFonts w:hint="eastAsia" w:ascii="仿宋" w:hAnsi="仿宋" w:eastAsia="仿宋"/>
          <w:sz w:val="52"/>
          <w:szCs w:val="52"/>
        </w:rPr>
        <w:t>南  京  大  学</w:t>
      </w:r>
    </w:p>
    <w:p>
      <w:pPr>
        <w:widowControl w:val="0"/>
        <w:spacing w:line="300" w:lineRule="auto"/>
        <w:jc w:val="center"/>
        <w:rPr>
          <w:rFonts w:ascii="仿宋" w:hAnsi="仿宋" w:eastAsia="仿宋"/>
          <w:sz w:val="44"/>
          <w:szCs w:val="52"/>
        </w:rPr>
      </w:pPr>
      <w:r>
        <w:rPr>
          <w:rFonts w:hint="eastAsia" w:ascii="仿宋" w:hAnsi="仿宋" w:eastAsia="仿宋"/>
          <w:sz w:val="44"/>
          <w:szCs w:val="52"/>
          <w:u w:val="single"/>
        </w:rPr>
        <w:t>南京大学仙林校区计算机学院楼供电增容改造工程</w:t>
      </w:r>
      <w:r>
        <w:rPr>
          <w:rFonts w:hint="eastAsia" w:ascii="仿宋" w:hAnsi="仿宋" w:eastAsia="仿宋"/>
          <w:sz w:val="44"/>
          <w:szCs w:val="52"/>
        </w:rPr>
        <w:t>项目</w:t>
      </w:r>
    </w:p>
    <w:p>
      <w:pPr>
        <w:widowControl w:val="0"/>
        <w:jc w:val="center"/>
        <w:rPr>
          <w:rFonts w:ascii="仿宋" w:hAnsi="仿宋" w:eastAsia="仿宋"/>
          <w:b/>
          <w:sz w:val="72"/>
          <w:szCs w:val="52"/>
        </w:rPr>
      </w:pPr>
    </w:p>
    <w:p>
      <w:pPr>
        <w:widowControl w:val="0"/>
        <w:jc w:val="center"/>
        <w:rPr>
          <w:rFonts w:ascii="仿宋" w:hAnsi="仿宋" w:eastAsia="仿宋"/>
          <w:b/>
          <w:sz w:val="72"/>
          <w:szCs w:val="52"/>
        </w:rPr>
      </w:pPr>
    </w:p>
    <w:p>
      <w:pPr>
        <w:widowControl w:val="0"/>
        <w:jc w:val="center"/>
        <w:rPr>
          <w:rFonts w:ascii="仿宋" w:hAnsi="仿宋" w:eastAsia="仿宋"/>
          <w:sz w:val="72"/>
          <w:szCs w:val="72"/>
        </w:rPr>
      </w:pPr>
      <w:r>
        <w:rPr>
          <w:rFonts w:hint="eastAsia" w:ascii="仿宋" w:hAnsi="仿宋" w:eastAsia="仿宋"/>
          <w:sz w:val="72"/>
          <w:szCs w:val="72"/>
        </w:rPr>
        <w:t>施 工 合 同</w:t>
      </w:r>
    </w:p>
    <w:p>
      <w:pPr>
        <w:widowControl w:val="0"/>
        <w:spacing w:line="360" w:lineRule="auto"/>
        <w:jc w:val="center"/>
        <w:rPr>
          <w:rFonts w:ascii="仿宋" w:hAnsi="仿宋" w:eastAsia="仿宋"/>
          <w:b/>
          <w:sz w:val="30"/>
          <w:szCs w:val="30"/>
        </w:rPr>
      </w:pPr>
    </w:p>
    <w:p>
      <w:pPr>
        <w:widowControl w:val="0"/>
        <w:spacing w:line="360" w:lineRule="auto"/>
        <w:jc w:val="center"/>
        <w:rPr>
          <w:rFonts w:ascii="仿宋" w:hAnsi="仿宋" w:eastAsia="仿宋"/>
          <w:b/>
          <w:sz w:val="72"/>
          <w:szCs w:val="72"/>
        </w:rPr>
      </w:pPr>
    </w:p>
    <w:p>
      <w:pPr>
        <w:widowControl w:val="0"/>
        <w:spacing w:line="360" w:lineRule="auto"/>
        <w:jc w:val="center"/>
        <w:rPr>
          <w:rFonts w:ascii="仿宋" w:hAnsi="仿宋" w:eastAsia="仿宋"/>
          <w:b/>
          <w:sz w:val="72"/>
          <w:szCs w:val="72"/>
        </w:rPr>
      </w:pPr>
    </w:p>
    <w:p>
      <w:pPr>
        <w:widowControl w:val="0"/>
        <w:spacing w:line="360" w:lineRule="auto"/>
        <w:jc w:val="center"/>
        <w:rPr>
          <w:rFonts w:ascii="仿宋" w:hAnsi="仿宋" w:eastAsia="仿宋"/>
          <w:b/>
          <w:sz w:val="56"/>
          <w:szCs w:val="72"/>
        </w:rPr>
      </w:pPr>
    </w:p>
    <w:p>
      <w:pPr>
        <w:widowControl w:val="0"/>
        <w:spacing w:line="480" w:lineRule="auto"/>
        <w:ind w:left="1200" w:leftChars="600"/>
        <w:rPr>
          <w:rFonts w:ascii="仿宋" w:hAnsi="仿宋" w:eastAsia="仿宋"/>
          <w:b/>
          <w:sz w:val="72"/>
          <w:szCs w:val="72"/>
        </w:rPr>
      </w:pPr>
      <w:r>
        <w:rPr>
          <w:rFonts w:hint="eastAsia" w:ascii="仿宋" w:hAnsi="仿宋" w:eastAsia="仿宋"/>
          <w:b/>
          <w:bCs/>
          <w:kern w:val="2"/>
          <w:sz w:val="32"/>
          <w:szCs w:val="32"/>
        </w:rPr>
        <w:t>签订合同地点：</w:t>
      </w:r>
      <w:r>
        <w:rPr>
          <w:rFonts w:hint="eastAsia" w:ascii="仿宋" w:hAnsi="仿宋" w:eastAsia="仿宋"/>
          <w:b/>
          <w:bCs/>
          <w:kern w:val="2"/>
          <w:sz w:val="32"/>
          <w:szCs w:val="32"/>
          <w:u w:val="single"/>
        </w:rPr>
        <w:t>南京市栖霞区仙林大道</w:t>
      </w:r>
      <w:r>
        <w:rPr>
          <w:rFonts w:ascii="仿宋" w:hAnsi="仿宋" w:eastAsia="仿宋"/>
          <w:b/>
          <w:bCs/>
          <w:kern w:val="2"/>
          <w:sz w:val="32"/>
          <w:szCs w:val="32"/>
          <w:u w:val="single"/>
        </w:rPr>
        <w:t>163号</w:t>
      </w:r>
    </w:p>
    <w:p>
      <w:pPr>
        <w:widowControl w:val="0"/>
        <w:spacing w:line="480" w:lineRule="auto"/>
        <w:ind w:left="1200" w:leftChars="600"/>
        <w:rPr>
          <w:rFonts w:ascii="仿宋" w:hAnsi="仿宋" w:eastAsia="仿宋"/>
          <w:b/>
          <w:bCs/>
          <w:kern w:val="2"/>
          <w:sz w:val="32"/>
          <w:szCs w:val="32"/>
          <w:u w:val="single"/>
        </w:rPr>
      </w:pPr>
      <w:r>
        <w:rPr>
          <w:rFonts w:hint="eastAsia" w:ascii="仿宋" w:hAnsi="仿宋" w:eastAsia="仿宋"/>
          <w:b/>
          <w:bCs/>
          <w:kern w:val="2"/>
          <w:sz w:val="32"/>
          <w:szCs w:val="32"/>
        </w:rPr>
        <w:t>签订合同日期：</w:t>
      </w:r>
      <w:r>
        <w:rPr>
          <w:rFonts w:hint="eastAsia" w:ascii="仿宋" w:hAnsi="仿宋" w:eastAsia="仿宋"/>
          <w:b/>
          <w:bCs/>
          <w:kern w:val="2"/>
          <w:sz w:val="32"/>
          <w:szCs w:val="32"/>
          <w:u w:val="single"/>
        </w:rPr>
        <w:t xml:space="preserve">  </w:t>
      </w:r>
      <w:r>
        <w:rPr>
          <w:rFonts w:ascii="仿宋" w:hAnsi="仿宋" w:eastAsia="仿宋"/>
          <w:b/>
          <w:bCs/>
          <w:kern w:val="2"/>
          <w:sz w:val="32"/>
          <w:szCs w:val="32"/>
          <w:u w:val="single"/>
        </w:rPr>
        <w:t xml:space="preserve">  </w:t>
      </w:r>
      <w:r>
        <w:rPr>
          <w:rFonts w:hint="eastAsia" w:ascii="仿宋" w:hAnsi="仿宋" w:eastAsia="仿宋"/>
          <w:b/>
          <w:bCs/>
          <w:kern w:val="2"/>
          <w:sz w:val="32"/>
          <w:szCs w:val="32"/>
          <w:u w:val="single"/>
        </w:rPr>
        <w:t xml:space="preserve"> 20</w:t>
      </w:r>
      <w:r>
        <w:rPr>
          <w:rFonts w:ascii="仿宋" w:hAnsi="仿宋" w:eastAsia="仿宋"/>
          <w:b/>
          <w:bCs/>
          <w:kern w:val="2"/>
          <w:sz w:val="32"/>
          <w:szCs w:val="32"/>
          <w:u w:val="single"/>
        </w:rPr>
        <w:t>19</w:t>
      </w:r>
      <w:r>
        <w:rPr>
          <w:rFonts w:hint="eastAsia" w:ascii="仿宋" w:hAnsi="仿宋" w:eastAsia="仿宋"/>
          <w:b/>
          <w:bCs/>
          <w:kern w:val="2"/>
          <w:sz w:val="32"/>
          <w:szCs w:val="32"/>
          <w:u w:val="single"/>
        </w:rPr>
        <w:t>年</w:t>
      </w:r>
      <w:r>
        <w:rPr>
          <w:rFonts w:ascii="仿宋" w:hAnsi="仿宋" w:eastAsia="仿宋"/>
          <w:b/>
          <w:bCs/>
          <w:kern w:val="2"/>
          <w:sz w:val="32"/>
          <w:szCs w:val="32"/>
          <w:u w:val="single"/>
        </w:rPr>
        <w:t>8</w:t>
      </w:r>
      <w:r>
        <w:rPr>
          <w:rFonts w:hint="eastAsia" w:ascii="仿宋" w:hAnsi="仿宋" w:eastAsia="仿宋"/>
          <w:b/>
          <w:bCs/>
          <w:kern w:val="2"/>
          <w:sz w:val="32"/>
          <w:szCs w:val="32"/>
          <w:u w:val="single"/>
        </w:rPr>
        <w:t>月  日</w:t>
      </w:r>
      <w:r>
        <w:rPr>
          <w:rFonts w:ascii="仿宋" w:hAnsi="仿宋" w:eastAsia="仿宋"/>
          <w:b/>
          <w:bCs/>
          <w:kern w:val="2"/>
          <w:sz w:val="32"/>
          <w:szCs w:val="32"/>
          <w:u w:val="single"/>
        </w:rPr>
        <w:t xml:space="preserve">  </w:t>
      </w:r>
      <w:r>
        <w:rPr>
          <w:rFonts w:hint="eastAsia" w:ascii="仿宋" w:hAnsi="仿宋" w:eastAsia="仿宋"/>
          <w:b/>
          <w:bCs/>
          <w:kern w:val="2"/>
          <w:sz w:val="32"/>
          <w:szCs w:val="32"/>
          <w:u w:val="single"/>
        </w:rPr>
        <w:t xml:space="preserve">  </w:t>
      </w:r>
    </w:p>
    <w:p>
      <w:pPr>
        <w:rPr>
          <w:rFonts w:ascii="仿宋" w:hAnsi="仿宋" w:eastAsia="仿宋"/>
          <w:snapToGrid w:val="0"/>
        </w:rPr>
      </w:pPr>
      <w:bookmarkStart w:id="52" w:name="_Toc3537733"/>
    </w:p>
    <w:p>
      <w:pPr>
        <w:rPr>
          <w:rFonts w:ascii="仿宋" w:hAnsi="仿宋" w:eastAsia="仿宋"/>
          <w:snapToGrid w:val="0"/>
        </w:rPr>
      </w:pPr>
    </w:p>
    <w:p>
      <w:pPr>
        <w:rPr>
          <w:rFonts w:ascii="仿宋" w:hAnsi="仿宋" w:eastAsia="仿宋"/>
          <w:snapToGrid w:val="0"/>
        </w:rPr>
      </w:pPr>
    </w:p>
    <w:p>
      <w:pPr>
        <w:rPr>
          <w:rFonts w:ascii="仿宋" w:hAnsi="仿宋" w:eastAsia="仿宋"/>
          <w:snapToGrid w:val="0"/>
        </w:rPr>
      </w:pPr>
    </w:p>
    <w:p>
      <w:pPr>
        <w:widowControl w:val="0"/>
        <w:jc w:val="center"/>
        <w:rPr>
          <w:rFonts w:ascii="仿宋" w:hAnsi="仿宋" w:eastAsia="仿宋"/>
          <w:b/>
          <w:snapToGrid w:val="0"/>
          <w:sz w:val="32"/>
        </w:rPr>
      </w:pPr>
      <w:r>
        <w:rPr>
          <w:rFonts w:ascii="仿宋" w:hAnsi="仿宋" w:eastAsia="仿宋"/>
          <w:snapToGrid w:val="0"/>
        </w:rPr>
        <w:br w:type="page"/>
      </w:r>
    </w:p>
    <w:bookmarkEnd w:id="52"/>
    <w:p>
      <w:pPr>
        <w:adjustRightInd w:val="0"/>
        <w:snapToGrid w:val="0"/>
        <w:spacing w:line="400" w:lineRule="exact"/>
        <w:jc w:val="center"/>
        <w:rPr>
          <w:rFonts w:ascii="仿宋" w:hAnsi="仿宋" w:eastAsia="仿宋"/>
          <w:b/>
          <w:color w:val="000000"/>
          <w:sz w:val="30"/>
          <w:szCs w:val="30"/>
        </w:rPr>
      </w:pPr>
      <w:r>
        <w:rPr>
          <w:rFonts w:hint="eastAsia" w:ascii="仿宋" w:hAnsi="仿宋" w:eastAsia="仿宋"/>
          <w:b/>
          <w:color w:val="000000"/>
          <w:sz w:val="30"/>
          <w:szCs w:val="30"/>
        </w:rPr>
        <w:t>第一部分 合同协议书</w:t>
      </w:r>
    </w:p>
    <w:p>
      <w:pPr>
        <w:adjustRightInd w:val="0"/>
        <w:snapToGrid w:val="0"/>
        <w:spacing w:line="400" w:lineRule="exact"/>
        <w:rPr>
          <w:rFonts w:ascii="仿宋_GB2312" w:eastAsia="仿宋_GB2312"/>
          <w:b/>
          <w:sz w:val="24"/>
        </w:rPr>
      </w:pPr>
      <w:r>
        <w:rPr>
          <w:rFonts w:hint="eastAsia" w:ascii="仿宋_GB2312" w:eastAsia="仿宋_GB2312"/>
          <w:b/>
          <w:color w:val="000000"/>
          <w:sz w:val="24"/>
        </w:rPr>
        <w:t>发包人（全称）：</w:t>
      </w:r>
      <w:r>
        <w:rPr>
          <w:rFonts w:hint="eastAsia" w:ascii="仿宋_GB2312" w:eastAsia="仿宋_GB2312"/>
          <w:b/>
          <w:color w:val="000000"/>
          <w:sz w:val="24"/>
          <w:u w:val="single"/>
        </w:rPr>
        <w:t xml:space="preserve"> 南京大学计算机科学与技术系</w:t>
      </w:r>
      <w:r>
        <w:rPr>
          <w:rFonts w:hint="eastAsia" w:ascii="仿宋_GB2312" w:eastAsia="仿宋_GB2312"/>
          <w:b/>
          <w:sz w:val="24"/>
          <w:u w:val="single"/>
        </w:rPr>
        <w:t xml:space="preserve">  </w:t>
      </w:r>
    </w:p>
    <w:p>
      <w:pPr>
        <w:tabs>
          <w:tab w:val="left" w:pos="630"/>
        </w:tabs>
        <w:adjustRightInd w:val="0"/>
        <w:snapToGrid w:val="0"/>
        <w:spacing w:line="400" w:lineRule="exact"/>
        <w:rPr>
          <w:rFonts w:ascii="仿宋_GB2312" w:eastAsia="仿宋_GB2312"/>
          <w:sz w:val="24"/>
        </w:rPr>
      </w:pPr>
      <w:r>
        <w:rPr>
          <w:rFonts w:hint="eastAsia" w:ascii="仿宋_GB2312" w:eastAsia="仿宋_GB2312"/>
          <w:b/>
          <w:sz w:val="24"/>
        </w:rPr>
        <w:t>承包人（全称）：</w:t>
      </w:r>
      <w:r>
        <w:rPr>
          <w:rFonts w:hint="eastAsia" w:ascii="仿宋_GB2312" w:eastAsia="仿宋_GB2312"/>
          <w:b/>
          <w:sz w:val="24"/>
          <w:u w:val="single"/>
        </w:rPr>
        <w:t xml:space="preserve">                   </w:t>
      </w:r>
      <w:r>
        <w:rPr>
          <w:rFonts w:hint="eastAsia" w:ascii="仿宋_GB2312" w:eastAsia="仿宋_GB2312"/>
          <w:b/>
          <w:sz w:val="24"/>
          <w:u w:val="single"/>
          <w:lang w:val="en-US" w:eastAsia="zh-CN"/>
        </w:rPr>
        <w:t xml:space="preserve">   </w:t>
      </w:r>
      <w:r>
        <w:rPr>
          <w:rFonts w:hint="eastAsia" w:ascii="仿宋_GB2312" w:eastAsia="仿宋_GB2312"/>
          <w:b/>
          <w:sz w:val="24"/>
          <w:u w:val="single"/>
        </w:rPr>
        <w:t xml:space="preserve">       </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依照《中华人民共和国合同法》、《中华人民共和国建筑法》及有关法律规定，遵循平等、自愿、公平和诚实信用的原则，双方就</w:t>
      </w:r>
      <w:r>
        <w:rPr>
          <w:rFonts w:hint="eastAsia" w:ascii="仿宋_GB2312" w:eastAsia="仿宋_GB2312"/>
          <w:sz w:val="24"/>
          <w:u w:val="single"/>
        </w:rPr>
        <w:t>南京大学仙林校区计算机学院楼供电增容改造工程</w:t>
      </w:r>
      <w:r>
        <w:rPr>
          <w:rFonts w:hint="eastAsia" w:ascii="仿宋_GB2312" w:eastAsia="仿宋_GB2312"/>
          <w:sz w:val="24"/>
        </w:rPr>
        <w:t>施工及有关事项协商一致，共同达成如下协议：</w:t>
      </w:r>
    </w:p>
    <w:p>
      <w:pPr>
        <w:adjustRightInd w:val="0"/>
        <w:snapToGrid w:val="0"/>
        <w:spacing w:line="400" w:lineRule="exact"/>
        <w:ind w:firstLine="482" w:firstLineChars="200"/>
        <w:rPr>
          <w:rFonts w:ascii="仿宋_GB2312" w:eastAsia="仿宋_GB2312"/>
          <w:sz w:val="24"/>
        </w:rPr>
      </w:pPr>
      <w:r>
        <w:rPr>
          <w:rFonts w:hint="eastAsia" w:ascii="仿宋_GB2312" w:eastAsia="仿宋_GB2312"/>
          <w:b/>
          <w:bCs/>
          <w:sz w:val="24"/>
        </w:rPr>
        <w:t>一、工程概况</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1.工程名称：</w:t>
      </w:r>
      <w:r>
        <w:rPr>
          <w:rFonts w:hint="eastAsia" w:ascii="仿宋_GB2312" w:eastAsia="仿宋_GB2312"/>
          <w:b/>
          <w:bCs/>
          <w:sz w:val="24"/>
          <w:u w:val="single"/>
        </w:rPr>
        <w:t>南京大学仙林</w:t>
      </w:r>
      <w:r>
        <w:rPr>
          <w:rFonts w:ascii="仿宋_GB2312" w:eastAsia="仿宋_GB2312"/>
          <w:b/>
          <w:bCs/>
          <w:sz w:val="24"/>
          <w:u w:val="single"/>
        </w:rPr>
        <w:t>校区</w:t>
      </w:r>
      <w:r>
        <w:rPr>
          <w:rFonts w:hint="eastAsia" w:ascii="仿宋_GB2312" w:eastAsia="仿宋_GB2312"/>
          <w:b/>
          <w:bCs/>
          <w:sz w:val="24"/>
          <w:u w:val="single"/>
        </w:rPr>
        <w:t>计算机学院楼供电增容改造</w:t>
      </w:r>
      <w:r>
        <w:rPr>
          <w:rFonts w:ascii="仿宋_GB2312" w:eastAsia="仿宋_GB2312"/>
          <w:b/>
          <w:bCs/>
          <w:sz w:val="24"/>
          <w:u w:val="single"/>
        </w:rPr>
        <w:t>工程</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2.工程地点：</w:t>
      </w:r>
      <w:r>
        <w:rPr>
          <w:rFonts w:hint="eastAsia" w:ascii="仿宋_GB2312" w:eastAsia="仿宋_GB2312"/>
          <w:sz w:val="24"/>
          <w:u w:val="single"/>
        </w:rPr>
        <w:t>南京大学仙林校区</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u w:val="single"/>
        </w:rPr>
      </w:pPr>
      <w:r>
        <w:rPr>
          <w:rFonts w:hint="eastAsia" w:ascii="仿宋_GB2312" w:eastAsia="仿宋_GB2312"/>
          <w:sz w:val="24"/>
        </w:rPr>
        <w:t>3.工程内容：</w:t>
      </w:r>
      <w:r>
        <w:rPr>
          <w:rFonts w:hint="eastAsia" w:ascii="仿宋_GB2312" w:eastAsia="仿宋_GB2312"/>
          <w:b/>
          <w:bCs/>
          <w:sz w:val="24"/>
          <w:u w:val="single"/>
        </w:rPr>
        <w:t>南京大学仙林</w:t>
      </w:r>
      <w:r>
        <w:rPr>
          <w:rFonts w:ascii="仿宋_GB2312" w:eastAsia="仿宋_GB2312"/>
          <w:b/>
          <w:bCs/>
          <w:sz w:val="24"/>
          <w:u w:val="single"/>
        </w:rPr>
        <w:t>校区</w:t>
      </w:r>
      <w:r>
        <w:rPr>
          <w:rFonts w:hint="eastAsia" w:ascii="仿宋_GB2312" w:eastAsia="仿宋_GB2312"/>
          <w:b/>
          <w:bCs/>
          <w:sz w:val="24"/>
          <w:u w:val="single"/>
        </w:rPr>
        <w:t>计算机学院楼供电增容改造</w:t>
      </w:r>
      <w:r>
        <w:rPr>
          <w:rFonts w:ascii="仿宋_GB2312" w:eastAsia="仿宋_GB2312"/>
          <w:b/>
          <w:bCs/>
          <w:sz w:val="24"/>
          <w:u w:val="single"/>
        </w:rPr>
        <w:t>工程</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4.工程承包范围：</w:t>
      </w:r>
      <w:r>
        <w:rPr>
          <w:rFonts w:hint="eastAsia" w:ascii="仿宋_GB2312" w:eastAsia="仿宋_GB2312"/>
          <w:sz w:val="24"/>
          <w:u w:val="single"/>
        </w:rPr>
        <w:t>计算机学院楼供电增容改造</w:t>
      </w:r>
      <w:r>
        <w:rPr>
          <w:rFonts w:hint="eastAsia" w:ascii="仿宋_GB2312" w:eastAsia="仿宋_GB2312"/>
          <w:sz w:val="24"/>
        </w:rPr>
        <w:t>。</w:t>
      </w:r>
    </w:p>
    <w:p>
      <w:pPr>
        <w:adjustRightInd w:val="0"/>
        <w:snapToGrid w:val="0"/>
        <w:spacing w:line="400" w:lineRule="exact"/>
        <w:ind w:firstLine="482" w:firstLineChars="200"/>
        <w:rPr>
          <w:rFonts w:ascii="仿宋_GB2312" w:eastAsia="仿宋_GB2312"/>
          <w:b/>
          <w:bCs/>
          <w:sz w:val="24"/>
        </w:rPr>
      </w:pPr>
      <w:r>
        <w:rPr>
          <w:rFonts w:hint="eastAsia" w:ascii="仿宋_GB2312" w:eastAsia="仿宋_GB2312"/>
          <w:b/>
          <w:bCs/>
          <w:color w:val="000000"/>
          <w:sz w:val="24"/>
        </w:rPr>
        <w:t>二、合</w:t>
      </w:r>
      <w:r>
        <w:rPr>
          <w:rFonts w:hint="eastAsia" w:ascii="仿宋_GB2312" w:eastAsia="仿宋_GB2312"/>
          <w:b/>
          <w:bCs/>
          <w:sz w:val="24"/>
        </w:rPr>
        <w:t>同工期</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计划开工日期：</w:t>
      </w:r>
      <w:r>
        <w:rPr>
          <w:rFonts w:ascii="仿宋_GB2312" w:eastAsia="仿宋_GB2312"/>
          <w:sz w:val="24"/>
          <w:u w:val="single"/>
        </w:rPr>
        <w:t xml:space="preserve"> 2019 </w:t>
      </w:r>
      <w:r>
        <w:rPr>
          <w:rFonts w:hint="eastAsia" w:ascii="仿宋_GB2312" w:eastAsia="仿宋_GB2312"/>
          <w:sz w:val="24"/>
        </w:rPr>
        <w:t>年</w:t>
      </w:r>
      <w:r>
        <w:rPr>
          <w:rFonts w:hint="eastAsia" w:ascii="仿宋_GB2312" w:eastAsia="仿宋_GB2312"/>
          <w:sz w:val="24"/>
          <w:u w:val="single"/>
        </w:rPr>
        <w:t xml:space="preserve"> </w:t>
      </w:r>
      <w:r>
        <w:rPr>
          <w:rFonts w:ascii="仿宋_GB2312" w:eastAsia="仿宋_GB2312"/>
          <w:sz w:val="24"/>
          <w:u w:val="single"/>
        </w:rPr>
        <w:t>8</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ascii="仿宋_GB2312" w:eastAsia="仿宋_GB2312"/>
          <w:sz w:val="24"/>
          <w:u w:val="single"/>
        </w:rPr>
        <w:t>05</w:t>
      </w:r>
      <w:r>
        <w:rPr>
          <w:rFonts w:hint="eastAsia" w:ascii="仿宋_GB2312" w:eastAsia="仿宋_GB2312"/>
          <w:sz w:val="24"/>
          <w:u w:val="single"/>
        </w:rPr>
        <w:t xml:space="preserve"> </w:t>
      </w:r>
      <w:r>
        <w:rPr>
          <w:rFonts w:hint="eastAsia" w:ascii="仿宋_GB2312" w:eastAsia="仿宋_GB2312"/>
          <w:sz w:val="24"/>
        </w:rPr>
        <w:t>日</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计划竣工日期：</w:t>
      </w:r>
      <w:r>
        <w:rPr>
          <w:rFonts w:ascii="仿宋_GB2312" w:eastAsia="仿宋_GB2312"/>
          <w:sz w:val="24"/>
          <w:u w:val="single"/>
        </w:rPr>
        <w:t xml:space="preserve"> </w:t>
      </w:r>
      <w:r>
        <w:rPr>
          <w:rFonts w:hint="eastAsia" w:ascii="仿宋_GB2312" w:eastAsia="仿宋_GB2312"/>
          <w:sz w:val="24"/>
          <w:u w:val="single"/>
        </w:rPr>
        <w:t>2019</w:t>
      </w:r>
      <w:r>
        <w:rPr>
          <w:rFonts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8 </w:t>
      </w:r>
      <w:r>
        <w:rPr>
          <w:rFonts w:hint="eastAsia" w:ascii="仿宋_GB2312" w:eastAsia="仿宋_GB2312"/>
          <w:sz w:val="24"/>
        </w:rPr>
        <w:t>月</w:t>
      </w:r>
      <w:r>
        <w:rPr>
          <w:rFonts w:ascii="仿宋_GB2312" w:eastAsia="仿宋_GB2312"/>
          <w:sz w:val="24"/>
          <w:u w:val="single"/>
        </w:rPr>
        <w:t xml:space="preserve"> 2</w:t>
      </w:r>
      <w:r>
        <w:rPr>
          <w:rFonts w:hint="eastAsia" w:ascii="仿宋_GB2312" w:eastAsia="仿宋_GB2312"/>
          <w:sz w:val="24"/>
          <w:u w:val="single"/>
        </w:rPr>
        <w:t xml:space="preserve">0 </w:t>
      </w:r>
      <w:r>
        <w:rPr>
          <w:rFonts w:hint="eastAsia" w:ascii="仿宋_GB2312" w:eastAsia="仿宋_GB2312"/>
          <w:sz w:val="24"/>
        </w:rPr>
        <w:t>日</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合同工期总日历天数：</w:t>
      </w:r>
      <w:r>
        <w:rPr>
          <w:rFonts w:hint="eastAsia" w:ascii="仿宋_GB2312" w:eastAsia="仿宋_GB2312"/>
          <w:sz w:val="24"/>
          <w:u w:val="single"/>
        </w:rPr>
        <w:t xml:space="preserve"> </w:t>
      </w:r>
      <w:r>
        <w:rPr>
          <w:rFonts w:ascii="仿宋_GB2312" w:eastAsia="仿宋_GB2312"/>
          <w:sz w:val="24"/>
          <w:u w:val="single"/>
        </w:rPr>
        <w:t>15</w:t>
      </w:r>
      <w:r>
        <w:rPr>
          <w:rFonts w:hint="eastAsia" w:ascii="仿宋_GB2312" w:eastAsia="仿宋_GB2312"/>
          <w:sz w:val="24"/>
          <w:u w:val="single"/>
        </w:rPr>
        <w:t xml:space="preserve"> </w:t>
      </w:r>
      <w:r>
        <w:rPr>
          <w:rFonts w:hint="eastAsia" w:ascii="仿宋_GB2312" w:eastAsia="仿宋_GB2312"/>
          <w:sz w:val="24"/>
        </w:rPr>
        <w:t>天。工期总日历天数与根据前述计划开竣工日期计算的工期天数不一致的，以工期总日历天数为准。</w:t>
      </w:r>
    </w:p>
    <w:p>
      <w:pPr>
        <w:adjustRightInd w:val="0"/>
        <w:snapToGrid w:val="0"/>
        <w:spacing w:line="400" w:lineRule="exact"/>
        <w:ind w:firstLine="482" w:firstLineChars="200"/>
        <w:rPr>
          <w:rFonts w:ascii="仿宋_GB2312" w:eastAsia="仿宋_GB2312"/>
          <w:b/>
          <w:bCs/>
          <w:sz w:val="24"/>
        </w:rPr>
      </w:pPr>
      <w:r>
        <w:rPr>
          <w:rFonts w:hint="eastAsia" w:ascii="仿宋_GB2312" w:eastAsia="仿宋_GB2312"/>
          <w:b/>
          <w:bCs/>
          <w:sz w:val="24"/>
        </w:rPr>
        <w:t>三、质量标准</w:t>
      </w:r>
    </w:p>
    <w:p>
      <w:pPr>
        <w:adjustRightInd w:val="0"/>
        <w:snapToGrid w:val="0"/>
        <w:spacing w:line="400" w:lineRule="exact"/>
        <w:ind w:firstLine="480" w:firstLineChars="200"/>
        <w:rPr>
          <w:rFonts w:ascii="仿宋_GB2312" w:eastAsia="仿宋_GB2312"/>
          <w:sz w:val="24"/>
        </w:rPr>
      </w:pPr>
      <w:r>
        <w:rPr>
          <w:rFonts w:hint="eastAsia" w:ascii="仿宋_GB2312" w:eastAsia="仿宋_GB2312"/>
          <w:bCs/>
          <w:sz w:val="24"/>
        </w:rPr>
        <w:t>工程质量符合</w:t>
      </w:r>
      <w:r>
        <w:rPr>
          <w:rFonts w:hint="eastAsia" w:eastAsia="仿宋_GB2312"/>
          <w:sz w:val="24"/>
          <w:u w:val="single"/>
        </w:rPr>
        <w:t>《建筑工程施工质量验收统一标准》</w:t>
      </w:r>
      <w:r>
        <w:rPr>
          <w:rFonts w:hint="eastAsia" w:ascii="仿宋_GB2312" w:eastAsia="仿宋_GB2312"/>
          <w:sz w:val="24"/>
          <w:u w:val="single"/>
        </w:rPr>
        <w:t>GB50300-20</w:t>
      </w:r>
      <w:r>
        <w:rPr>
          <w:rFonts w:ascii="仿宋_GB2312" w:eastAsia="仿宋_GB2312"/>
          <w:sz w:val="24"/>
          <w:u w:val="single"/>
        </w:rPr>
        <w:t>1</w:t>
      </w:r>
      <w:r>
        <w:rPr>
          <w:rFonts w:hint="eastAsia" w:ascii="仿宋_GB2312" w:eastAsia="仿宋_GB2312"/>
          <w:sz w:val="24"/>
          <w:u w:val="single"/>
        </w:rPr>
        <w:t>3规定的合格</w:t>
      </w:r>
      <w:r>
        <w:rPr>
          <w:rFonts w:hint="eastAsia" w:ascii="仿宋_GB2312" w:eastAsia="仿宋_GB2312"/>
          <w:sz w:val="24"/>
        </w:rPr>
        <w:t>标准。</w:t>
      </w:r>
    </w:p>
    <w:p>
      <w:pPr>
        <w:adjustRightInd w:val="0"/>
        <w:snapToGrid w:val="0"/>
        <w:spacing w:line="400" w:lineRule="exact"/>
        <w:ind w:firstLine="482" w:firstLineChars="200"/>
        <w:rPr>
          <w:rFonts w:ascii="仿宋_GB2312" w:eastAsia="仿宋_GB2312"/>
          <w:b/>
          <w:bCs/>
          <w:sz w:val="24"/>
        </w:rPr>
      </w:pPr>
      <w:r>
        <w:rPr>
          <w:rFonts w:hint="eastAsia" w:ascii="仿宋_GB2312" w:eastAsia="仿宋_GB2312"/>
          <w:b/>
          <w:bCs/>
          <w:sz w:val="24"/>
        </w:rPr>
        <w:t>四、签约合同价与合同价格形式</w:t>
      </w:r>
    </w:p>
    <w:p>
      <w:pPr>
        <w:adjustRightInd w:val="0"/>
        <w:snapToGrid w:val="0"/>
        <w:spacing w:line="400" w:lineRule="exact"/>
        <w:ind w:firstLine="480" w:firstLineChars="200"/>
        <w:rPr>
          <w:rFonts w:ascii="仿宋_GB2312" w:eastAsia="仿宋_GB2312"/>
          <w:sz w:val="24"/>
        </w:rPr>
      </w:pPr>
      <w:r>
        <w:rPr>
          <w:rFonts w:hint="eastAsia" w:ascii="仿宋_GB2312" w:eastAsia="仿宋_GB2312"/>
          <w:bCs/>
          <w:sz w:val="24"/>
        </w:rPr>
        <w:t>1.签约合同价为：</w:t>
      </w:r>
      <w:r>
        <w:rPr>
          <w:rFonts w:hint="eastAsia" w:ascii="仿宋_GB2312" w:eastAsia="仿宋_GB2312"/>
          <w:sz w:val="24"/>
        </w:rPr>
        <w:t>人民币（大写）：</w:t>
      </w:r>
      <w:r>
        <w:rPr>
          <w:rFonts w:hint="eastAsia" w:ascii="仿宋_GB2312" w:eastAsia="仿宋_GB2312"/>
          <w:sz w:val="24"/>
          <w:u w:val="single"/>
        </w:rPr>
        <w:t xml:space="preserve">                  </w:t>
      </w:r>
      <w:r>
        <w:rPr>
          <w:rFonts w:hint="eastAsia" w:ascii="仿宋_GB2312" w:eastAsia="仿宋_GB2312"/>
          <w:sz w:val="24"/>
        </w:rPr>
        <w:t>（</w:t>
      </w:r>
      <w:r>
        <w:rPr>
          <w:rFonts w:ascii="宋体" w:hAnsi="宋体" w:cs="宋体"/>
          <w:sz w:val="24"/>
        </w:rPr>
        <w:t>¥</w:t>
      </w:r>
      <w:r>
        <w:rPr>
          <w:rFonts w:hint="eastAsia" w:ascii="宋体" w:hAnsi="宋体" w:cs="宋体"/>
          <w:sz w:val="24"/>
          <w:u w:val="single"/>
        </w:rPr>
        <w:t xml:space="preserve">           </w:t>
      </w:r>
      <w:r>
        <w:rPr>
          <w:rFonts w:hint="eastAsia" w:ascii="宋体" w:hAnsi="宋体" w:cs="宋体"/>
          <w:sz w:val="24"/>
        </w:rPr>
        <w:t>元</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2.合同价格形式：</w:t>
      </w:r>
      <w:r>
        <w:rPr>
          <w:rFonts w:hint="eastAsia" w:ascii="仿宋_GB2312" w:eastAsia="仿宋_GB2312"/>
          <w:sz w:val="24"/>
          <w:u w:val="single"/>
        </w:rPr>
        <w:t>固定单价合同</w:t>
      </w:r>
      <w:r>
        <w:rPr>
          <w:rFonts w:hint="eastAsia" w:ascii="仿宋_GB2312" w:eastAsia="仿宋_GB2312"/>
          <w:sz w:val="24"/>
        </w:rPr>
        <w:t>。</w:t>
      </w:r>
    </w:p>
    <w:p>
      <w:pPr>
        <w:adjustRightInd w:val="0"/>
        <w:snapToGrid w:val="0"/>
        <w:spacing w:line="400" w:lineRule="exact"/>
        <w:ind w:firstLine="482" w:firstLineChars="200"/>
        <w:rPr>
          <w:rFonts w:ascii="仿宋_GB2312" w:eastAsia="仿宋_GB2312"/>
          <w:b/>
          <w:bCs/>
          <w:sz w:val="24"/>
        </w:rPr>
      </w:pPr>
      <w:r>
        <w:rPr>
          <w:rFonts w:hint="eastAsia" w:ascii="仿宋_GB2312" w:eastAsia="仿宋_GB2312"/>
          <w:b/>
          <w:bCs/>
          <w:sz w:val="24"/>
        </w:rPr>
        <w:t>五、项目经理</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承包人项目经理：</w:t>
      </w:r>
      <w:r>
        <w:rPr>
          <w:rFonts w:hint="eastAsia" w:ascii="仿宋_GB2312" w:eastAsia="仿宋_GB2312"/>
          <w:sz w:val="24"/>
          <w:u w:val="single"/>
        </w:rPr>
        <w:t xml:space="preserve">         </w:t>
      </w:r>
      <w:r>
        <w:rPr>
          <w:rFonts w:hint="eastAsia" w:ascii="仿宋_GB2312" w:eastAsia="仿宋_GB2312"/>
          <w:sz w:val="24"/>
        </w:rPr>
        <w:t>。</w:t>
      </w:r>
    </w:p>
    <w:p>
      <w:pPr>
        <w:adjustRightInd w:val="0"/>
        <w:snapToGrid w:val="0"/>
        <w:spacing w:line="400" w:lineRule="exact"/>
        <w:ind w:firstLine="482" w:firstLineChars="200"/>
        <w:rPr>
          <w:rFonts w:ascii="仿宋_GB2312" w:eastAsia="仿宋_GB2312"/>
          <w:b/>
          <w:bCs/>
          <w:sz w:val="24"/>
        </w:rPr>
      </w:pPr>
      <w:r>
        <w:rPr>
          <w:rFonts w:hint="eastAsia" w:ascii="仿宋_GB2312" w:eastAsia="仿宋_GB2312"/>
          <w:b/>
          <w:bCs/>
          <w:sz w:val="24"/>
        </w:rPr>
        <w:t>六、合同文件构成</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本协议书与下列文件一起构成合同文件：</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（1）中标通知书（如果有）；</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 xml:space="preserve">（2）投标函及其附录（如果有）； </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（3）专用合同条款及其附件；</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（4）通用合同条款；</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（5）技术标准和要求；</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（6）图纸；</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（7）已标价工程量清单或预算书；</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（8）其他合同文件。</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在合同订立及履行过程中形成的与合同有关的文件均构成合同文件组成部分。</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上述各项合同文件包括合同当事人就该项合同文件所作出的补充和修改，属于同一类内容的文件，应以最新签署的为准。专用合同条款及其附件须经合同当事人签字或盖章。</w:t>
      </w:r>
    </w:p>
    <w:p>
      <w:pPr>
        <w:adjustRightInd w:val="0"/>
        <w:snapToGrid w:val="0"/>
        <w:spacing w:line="400" w:lineRule="exact"/>
        <w:ind w:firstLine="482" w:firstLineChars="200"/>
        <w:rPr>
          <w:rFonts w:ascii="仿宋_GB2312" w:eastAsia="仿宋_GB2312"/>
          <w:b/>
          <w:bCs/>
          <w:color w:val="000000"/>
          <w:sz w:val="24"/>
        </w:rPr>
      </w:pPr>
      <w:r>
        <w:rPr>
          <w:rFonts w:hint="eastAsia" w:ascii="仿宋_GB2312" w:eastAsia="仿宋_GB2312"/>
          <w:b/>
          <w:bCs/>
          <w:color w:val="000000"/>
          <w:sz w:val="24"/>
        </w:rPr>
        <w:t>七、承诺</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1.发包人承诺按照法律规定履行项目审批手续、筹集工程建设资金并按照合同约定的期限和方式支付合同价款。</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400" w:lineRule="exact"/>
        <w:ind w:firstLine="482" w:firstLineChars="200"/>
        <w:rPr>
          <w:rFonts w:ascii="仿宋_GB2312" w:eastAsia="仿宋_GB2312"/>
          <w:b/>
          <w:bCs/>
          <w:color w:val="000000"/>
          <w:sz w:val="24"/>
        </w:rPr>
      </w:pPr>
      <w:r>
        <w:rPr>
          <w:rFonts w:ascii="仿宋_GB2312" w:eastAsia="仿宋_GB2312"/>
          <w:b/>
          <w:bCs/>
          <w:color w:val="000000"/>
          <w:sz w:val="24"/>
        </w:rPr>
        <w:t>八、词语含义</w:t>
      </w:r>
    </w:p>
    <w:p>
      <w:pPr>
        <w:adjustRightInd w:val="0"/>
        <w:snapToGrid w:val="0"/>
        <w:spacing w:line="400" w:lineRule="exact"/>
        <w:ind w:firstLine="480" w:firstLineChars="200"/>
        <w:rPr>
          <w:rFonts w:ascii="仿宋_GB2312" w:eastAsia="仿宋_GB2312"/>
          <w:sz w:val="24"/>
        </w:rPr>
      </w:pPr>
      <w:r>
        <w:rPr>
          <w:rFonts w:ascii="仿宋_GB2312" w:eastAsia="仿宋_GB2312"/>
          <w:color w:val="000000"/>
          <w:sz w:val="24"/>
        </w:rPr>
        <w:t>本协议书</w:t>
      </w:r>
      <w:r>
        <w:rPr>
          <w:rFonts w:ascii="仿宋_GB2312" w:eastAsia="仿宋_GB2312"/>
          <w:sz w:val="24"/>
        </w:rPr>
        <w:t>中词语含义与第二部分通用合同条款中赋予的含义相同。</w:t>
      </w:r>
    </w:p>
    <w:p>
      <w:pPr>
        <w:adjustRightInd w:val="0"/>
        <w:snapToGrid w:val="0"/>
        <w:spacing w:line="400" w:lineRule="exact"/>
        <w:ind w:firstLine="482" w:firstLineChars="200"/>
        <w:rPr>
          <w:rFonts w:ascii="仿宋_GB2312" w:eastAsia="仿宋_GB2312"/>
          <w:b/>
          <w:bCs/>
          <w:sz w:val="24"/>
        </w:rPr>
      </w:pPr>
      <w:bookmarkStart w:id="53" w:name="_Toc351203489"/>
      <w:r>
        <w:rPr>
          <w:rFonts w:ascii="仿宋_GB2312" w:eastAsia="仿宋_GB2312"/>
          <w:b/>
          <w:bCs/>
          <w:sz w:val="24"/>
        </w:rPr>
        <w:t>九、签订时间</w:t>
      </w:r>
      <w:bookmarkEnd w:id="53"/>
    </w:p>
    <w:p>
      <w:pPr>
        <w:adjustRightInd w:val="0"/>
        <w:snapToGrid w:val="0"/>
        <w:spacing w:line="400" w:lineRule="exact"/>
        <w:ind w:firstLine="480" w:firstLineChars="200"/>
        <w:rPr>
          <w:rFonts w:ascii="仿宋_GB2312" w:eastAsia="仿宋_GB2312"/>
          <w:sz w:val="24"/>
        </w:rPr>
      </w:pPr>
      <w:r>
        <w:rPr>
          <w:rFonts w:ascii="仿宋_GB2312" w:eastAsia="仿宋_GB2312"/>
          <w:sz w:val="24"/>
        </w:rPr>
        <w:t>本合同于</w:t>
      </w:r>
      <w:r>
        <w:rPr>
          <w:rFonts w:hint="eastAsia" w:ascii="仿宋_GB2312" w:eastAsia="仿宋_GB2312"/>
          <w:sz w:val="24"/>
          <w:u w:val="single"/>
        </w:rPr>
        <w:t xml:space="preserve"> 20</w:t>
      </w:r>
      <w:r>
        <w:rPr>
          <w:rFonts w:ascii="仿宋_GB2312" w:eastAsia="仿宋_GB2312"/>
          <w:sz w:val="24"/>
          <w:u w:val="single"/>
        </w:rPr>
        <w:t>19</w:t>
      </w:r>
      <w:r>
        <w:rPr>
          <w:rFonts w:hint="eastAsia" w:ascii="仿宋_GB2312" w:eastAsia="仿宋_GB2312"/>
          <w:sz w:val="24"/>
          <w:u w:val="single"/>
        </w:rPr>
        <w:t xml:space="preserve"> </w:t>
      </w:r>
      <w:r>
        <w:rPr>
          <w:rFonts w:ascii="仿宋_GB2312" w:eastAsia="仿宋_GB2312"/>
          <w:sz w:val="24"/>
        </w:rPr>
        <w:t>年</w:t>
      </w:r>
      <w:r>
        <w:rPr>
          <w:rFonts w:hint="eastAsia" w:ascii="仿宋_GB2312" w:eastAsia="仿宋_GB2312"/>
          <w:sz w:val="24"/>
          <w:u w:val="single"/>
        </w:rPr>
        <w:t xml:space="preserve">  </w:t>
      </w:r>
      <w:r>
        <w:rPr>
          <w:rFonts w:ascii="仿宋_GB2312" w:eastAsia="仿宋_GB2312"/>
          <w:sz w:val="24"/>
        </w:rPr>
        <w:t>月</w:t>
      </w:r>
      <w:r>
        <w:rPr>
          <w:rFonts w:hint="eastAsia" w:ascii="仿宋_GB2312" w:eastAsia="仿宋_GB2312"/>
          <w:sz w:val="24"/>
          <w:u w:val="single"/>
        </w:rPr>
        <w:t xml:space="preserve">  </w:t>
      </w:r>
      <w:r>
        <w:rPr>
          <w:rFonts w:ascii="仿宋_GB2312" w:eastAsia="仿宋_GB2312"/>
          <w:sz w:val="24"/>
        </w:rPr>
        <w:t>日签订。</w:t>
      </w:r>
    </w:p>
    <w:p>
      <w:pPr>
        <w:adjustRightInd w:val="0"/>
        <w:snapToGrid w:val="0"/>
        <w:spacing w:line="400" w:lineRule="exact"/>
        <w:ind w:firstLine="482" w:firstLineChars="200"/>
        <w:rPr>
          <w:rFonts w:ascii="仿宋_GB2312" w:eastAsia="仿宋_GB2312"/>
          <w:b/>
          <w:bCs/>
          <w:sz w:val="24"/>
        </w:rPr>
      </w:pPr>
      <w:bookmarkStart w:id="54" w:name="_Toc351203490"/>
      <w:r>
        <w:rPr>
          <w:rFonts w:ascii="仿宋_GB2312" w:eastAsia="仿宋_GB2312"/>
          <w:b/>
          <w:bCs/>
          <w:sz w:val="24"/>
        </w:rPr>
        <w:t>十、签订地点</w:t>
      </w:r>
      <w:bookmarkEnd w:id="54"/>
    </w:p>
    <w:p>
      <w:pPr>
        <w:adjustRightInd w:val="0"/>
        <w:snapToGrid w:val="0"/>
        <w:spacing w:line="400" w:lineRule="exact"/>
        <w:ind w:firstLine="480" w:firstLineChars="200"/>
        <w:rPr>
          <w:rFonts w:ascii="仿宋_GB2312" w:eastAsia="仿宋_GB2312"/>
          <w:sz w:val="24"/>
        </w:rPr>
      </w:pPr>
      <w:r>
        <w:rPr>
          <w:rFonts w:ascii="仿宋_GB2312" w:eastAsia="仿宋_GB2312"/>
          <w:sz w:val="24"/>
        </w:rPr>
        <w:t>本合同在</w:t>
      </w:r>
      <w:r>
        <w:rPr>
          <w:rFonts w:ascii="仿宋_GB2312" w:eastAsia="仿宋_GB2312"/>
          <w:sz w:val="24"/>
          <w:u w:val="single"/>
        </w:rPr>
        <w:t xml:space="preserve"> </w:t>
      </w:r>
      <w:r>
        <w:rPr>
          <w:rFonts w:hint="eastAsia" w:ascii="仿宋_GB2312" w:eastAsia="仿宋_GB2312"/>
          <w:sz w:val="24"/>
          <w:u w:val="single"/>
        </w:rPr>
        <w:t xml:space="preserve">南京市 </w:t>
      </w:r>
      <w:r>
        <w:rPr>
          <w:rFonts w:ascii="仿宋_GB2312" w:eastAsia="仿宋_GB2312"/>
          <w:sz w:val="24"/>
        </w:rPr>
        <w:t>签订。</w:t>
      </w:r>
    </w:p>
    <w:p>
      <w:pPr>
        <w:adjustRightInd w:val="0"/>
        <w:snapToGrid w:val="0"/>
        <w:spacing w:line="400" w:lineRule="exact"/>
        <w:ind w:firstLine="482" w:firstLineChars="200"/>
        <w:rPr>
          <w:rFonts w:ascii="仿宋_GB2312" w:eastAsia="仿宋_GB2312"/>
          <w:b/>
          <w:bCs/>
          <w:sz w:val="24"/>
        </w:rPr>
      </w:pPr>
      <w:bookmarkStart w:id="55" w:name="_Toc351203491"/>
      <w:r>
        <w:rPr>
          <w:rFonts w:ascii="仿宋_GB2312" w:eastAsia="仿宋_GB2312"/>
          <w:b/>
          <w:bCs/>
          <w:sz w:val="24"/>
        </w:rPr>
        <w:t>十一、补充协议</w:t>
      </w:r>
      <w:bookmarkEnd w:id="55"/>
    </w:p>
    <w:p>
      <w:pPr>
        <w:adjustRightInd w:val="0"/>
        <w:snapToGrid w:val="0"/>
        <w:spacing w:line="400" w:lineRule="exact"/>
        <w:ind w:firstLine="480" w:firstLineChars="200"/>
        <w:rPr>
          <w:rFonts w:ascii="仿宋_GB2312" w:eastAsia="仿宋_GB2312"/>
          <w:sz w:val="24"/>
        </w:rPr>
      </w:pPr>
      <w:r>
        <w:rPr>
          <w:rFonts w:ascii="仿宋_GB2312" w:eastAsia="仿宋_GB2312"/>
          <w:sz w:val="24"/>
        </w:rPr>
        <w:t>合同未尽事宜，合同当事人另行签订补充协议</w:t>
      </w:r>
      <w:r>
        <w:rPr>
          <w:rFonts w:hint="eastAsia" w:ascii="仿宋_GB2312" w:eastAsia="仿宋_GB2312"/>
          <w:sz w:val="24"/>
        </w:rPr>
        <w:t>，</w:t>
      </w:r>
      <w:r>
        <w:rPr>
          <w:rFonts w:ascii="仿宋_GB2312" w:eastAsia="仿宋_GB2312"/>
          <w:sz w:val="24"/>
        </w:rPr>
        <w:t>补充协议是合同的组成部分。</w:t>
      </w:r>
    </w:p>
    <w:p>
      <w:pPr>
        <w:adjustRightInd w:val="0"/>
        <w:snapToGrid w:val="0"/>
        <w:spacing w:line="400" w:lineRule="exact"/>
        <w:ind w:firstLine="482" w:firstLineChars="200"/>
        <w:rPr>
          <w:rFonts w:ascii="仿宋_GB2312" w:eastAsia="仿宋_GB2312"/>
          <w:b/>
          <w:bCs/>
          <w:sz w:val="24"/>
        </w:rPr>
      </w:pPr>
      <w:bookmarkStart w:id="56" w:name="_Toc351203492"/>
      <w:r>
        <w:rPr>
          <w:rFonts w:ascii="仿宋_GB2312" w:eastAsia="仿宋_GB2312"/>
          <w:b/>
          <w:bCs/>
          <w:sz w:val="24"/>
        </w:rPr>
        <w:t>十二、合同生效</w:t>
      </w:r>
      <w:bookmarkEnd w:id="56"/>
    </w:p>
    <w:p>
      <w:pPr>
        <w:adjustRightInd w:val="0"/>
        <w:snapToGrid w:val="0"/>
        <w:spacing w:line="400" w:lineRule="exact"/>
        <w:ind w:firstLine="480" w:firstLineChars="200"/>
        <w:rPr>
          <w:rFonts w:ascii="仿宋_GB2312" w:eastAsia="仿宋_GB2312"/>
          <w:sz w:val="24"/>
        </w:rPr>
      </w:pPr>
      <w:r>
        <w:rPr>
          <w:rFonts w:ascii="仿宋_GB2312" w:eastAsia="仿宋_GB2312"/>
          <w:sz w:val="24"/>
        </w:rPr>
        <w:t>本合同自</w:t>
      </w:r>
      <w:r>
        <w:rPr>
          <w:rFonts w:ascii="仿宋_GB2312" w:eastAsia="仿宋_GB2312"/>
          <w:sz w:val="24"/>
          <w:u w:val="single"/>
        </w:rPr>
        <w:t xml:space="preserve"> </w:t>
      </w:r>
      <w:r>
        <w:rPr>
          <w:rFonts w:hint="eastAsia" w:ascii="仿宋_GB2312" w:eastAsia="仿宋_GB2312"/>
          <w:sz w:val="24"/>
          <w:u w:val="single"/>
        </w:rPr>
        <w:t>双方签字盖章后</w:t>
      </w:r>
      <w:r>
        <w:rPr>
          <w:rFonts w:ascii="仿宋_GB2312" w:eastAsia="仿宋_GB2312"/>
          <w:sz w:val="24"/>
          <w:u w:val="single"/>
        </w:rPr>
        <w:t xml:space="preserve"> </w:t>
      </w:r>
      <w:r>
        <w:rPr>
          <w:rFonts w:ascii="仿宋_GB2312" w:eastAsia="仿宋_GB2312"/>
          <w:sz w:val="24"/>
        </w:rPr>
        <w:t>生效。</w:t>
      </w:r>
    </w:p>
    <w:p>
      <w:pPr>
        <w:adjustRightInd w:val="0"/>
        <w:snapToGrid w:val="0"/>
        <w:spacing w:line="400" w:lineRule="exact"/>
        <w:ind w:firstLine="482" w:firstLineChars="200"/>
        <w:rPr>
          <w:rFonts w:ascii="仿宋_GB2312" w:eastAsia="仿宋_GB2312"/>
          <w:b/>
          <w:bCs/>
          <w:sz w:val="24"/>
        </w:rPr>
      </w:pPr>
      <w:r>
        <w:rPr>
          <w:rFonts w:ascii="仿宋_GB2312" w:eastAsia="仿宋_GB2312"/>
          <w:b/>
          <w:bCs/>
          <w:sz w:val="24"/>
        </w:rPr>
        <w:t>十三、合同份数</w:t>
      </w:r>
    </w:p>
    <w:p>
      <w:pPr>
        <w:adjustRightInd w:val="0"/>
        <w:snapToGrid w:val="0"/>
        <w:spacing w:line="400" w:lineRule="exact"/>
        <w:ind w:firstLine="480" w:firstLineChars="200"/>
        <w:rPr>
          <w:rFonts w:ascii="仿宋_GB2312" w:eastAsia="仿宋_GB2312"/>
          <w:sz w:val="24"/>
        </w:rPr>
      </w:pPr>
      <w:r>
        <w:rPr>
          <w:rFonts w:ascii="仿宋_GB2312" w:eastAsia="仿宋_GB2312"/>
          <w:sz w:val="24"/>
        </w:rPr>
        <w:t>本合同一式</w:t>
      </w:r>
      <w:r>
        <w:rPr>
          <w:rFonts w:hint="eastAsia" w:ascii="仿宋_GB2312" w:eastAsia="仿宋_GB2312"/>
          <w:sz w:val="24"/>
          <w:u w:val="single"/>
        </w:rPr>
        <w:t>拾</w:t>
      </w:r>
      <w:r>
        <w:rPr>
          <w:rFonts w:ascii="仿宋_GB2312" w:eastAsia="仿宋_GB2312"/>
          <w:sz w:val="24"/>
        </w:rPr>
        <w:t>份，均具有同等法律效力，发包人执</w:t>
      </w:r>
      <w:r>
        <w:rPr>
          <w:rFonts w:hint="eastAsia" w:ascii="仿宋_GB2312" w:eastAsia="仿宋_GB2312"/>
          <w:sz w:val="24"/>
          <w:u w:val="single"/>
        </w:rPr>
        <w:t>伍</w:t>
      </w:r>
      <w:r>
        <w:rPr>
          <w:rFonts w:ascii="仿宋_GB2312" w:eastAsia="仿宋_GB2312"/>
          <w:sz w:val="24"/>
        </w:rPr>
        <w:t>份，承包人执</w:t>
      </w:r>
      <w:r>
        <w:rPr>
          <w:rFonts w:hint="eastAsia" w:ascii="仿宋_GB2312" w:eastAsia="仿宋_GB2312"/>
          <w:sz w:val="24"/>
          <w:u w:val="single"/>
        </w:rPr>
        <w:t>伍</w:t>
      </w:r>
      <w:r>
        <w:rPr>
          <w:rFonts w:ascii="仿宋_GB2312" w:eastAsia="仿宋_GB2312"/>
          <w:sz w:val="24"/>
        </w:rPr>
        <w:t>份。</w:t>
      </w:r>
    </w:p>
    <w:p>
      <w:pPr>
        <w:adjustRightInd w:val="0"/>
        <w:snapToGrid w:val="0"/>
        <w:spacing w:line="400" w:lineRule="exact"/>
        <w:ind w:firstLine="480" w:firstLineChars="200"/>
        <w:rPr>
          <w:rFonts w:ascii="仿宋_GB2312" w:eastAsia="仿宋_GB2312"/>
          <w:color w:val="000000"/>
          <w:sz w:val="24"/>
        </w:rPr>
      </w:pPr>
    </w:p>
    <w:tbl>
      <w:tblPr>
        <w:tblStyle w:val="40"/>
        <w:tblW w:w="9287" w:type="dxa"/>
        <w:tblInd w:w="0" w:type="dxa"/>
        <w:tblLayout w:type="fixed"/>
        <w:tblCellMar>
          <w:top w:w="0" w:type="dxa"/>
          <w:left w:w="108" w:type="dxa"/>
          <w:bottom w:w="0" w:type="dxa"/>
          <w:right w:w="108" w:type="dxa"/>
        </w:tblCellMar>
      </w:tblPr>
      <w:tblGrid>
        <w:gridCol w:w="4667"/>
        <w:gridCol w:w="4620"/>
      </w:tblGrid>
      <w:tr>
        <w:tblPrEx>
          <w:tblLayout w:type="fixed"/>
          <w:tblCellMar>
            <w:top w:w="0" w:type="dxa"/>
            <w:left w:w="108" w:type="dxa"/>
            <w:bottom w:w="0" w:type="dxa"/>
            <w:right w:w="108" w:type="dxa"/>
          </w:tblCellMar>
        </w:tblPrEx>
        <w:trPr>
          <w:trHeight w:val="2641" w:hRule="atLeast"/>
        </w:trPr>
        <w:tc>
          <w:tcPr>
            <w:tcW w:w="4667" w:type="dxa"/>
            <w:shd w:val="clear" w:color="auto" w:fill="auto"/>
          </w:tcPr>
          <w:p>
            <w:pPr>
              <w:adjustRightInd w:val="0"/>
              <w:snapToGrid w:val="0"/>
              <w:spacing w:line="400" w:lineRule="exact"/>
              <w:rPr>
                <w:rFonts w:ascii="仿宋" w:hAnsi="仿宋" w:eastAsia="仿宋"/>
                <w:color w:val="000000"/>
                <w:sz w:val="24"/>
                <w:szCs w:val="24"/>
              </w:rPr>
            </w:pPr>
            <w:r>
              <w:rPr>
                <w:rFonts w:ascii="仿宋" w:hAnsi="仿宋" w:eastAsia="仿宋"/>
                <w:color w:val="000000"/>
                <w:sz w:val="24"/>
                <w:szCs w:val="24"/>
              </w:rPr>
              <w:t>发包人</w:t>
            </w:r>
            <w:r>
              <w:rPr>
                <w:rFonts w:hint="eastAsia" w:ascii="仿宋" w:hAnsi="仿宋" w:eastAsia="仿宋"/>
                <w:color w:val="000000"/>
                <w:sz w:val="24"/>
                <w:szCs w:val="24"/>
              </w:rPr>
              <w:t xml:space="preserve">：  </w:t>
            </w:r>
            <w:r>
              <w:rPr>
                <w:rFonts w:ascii="仿宋" w:hAnsi="仿宋" w:eastAsia="仿宋"/>
                <w:color w:val="000000"/>
                <w:sz w:val="24"/>
                <w:szCs w:val="24"/>
              </w:rPr>
              <w:t>(公章)</w:t>
            </w:r>
            <w:r>
              <w:rPr>
                <w:rFonts w:hint="eastAsia" w:ascii="仿宋" w:hAnsi="仿宋" w:eastAsia="仿宋"/>
                <w:color w:val="000000"/>
                <w:sz w:val="24"/>
                <w:szCs w:val="24"/>
              </w:rPr>
              <w:t xml:space="preserve">  </w:t>
            </w:r>
          </w:p>
          <w:p>
            <w:pPr>
              <w:adjustRightInd w:val="0"/>
              <w:snapToGrid w:val="0"/>
              <w:spacing w:line="400" w:lineRule="exact"/>
              <w:rPr>
                <w:rFonts w:ascii="仿宋" w:hAnsi="仿宋" w:eastAsia="仿宋"/>
                <w:color w:val="000000"/>
                <w:sz w:val="24"/>
                <w:szCs w:val="24"/>
              </w:rPr>
            </w:pP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法定代表人或其委托代理人：</w:t>
            </w: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（签字）</w:t>
            </w:r>
          </w:p>
          <w:p>
            <w:pPr>
              <w:adjustRightInd w:val="0"/>
              <w:snapToGrid w:val="0"/>
              <w:spacing w:line="400" w:lineRule="exact"/>
              <w:rPr>
                <w:rFonts w:ascii="仿宋" w:hAnsi="仿宋" w:eastAsia="仿宋"/>
                <w:color w:val="000000"/>
                <w:sz w:val="24"/>
                <w:szCs w:val="24"/>
              </w:rPr>
            </w:pP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组织机构代码：</w:t>
            </w:r>
            <w:r>
              <w:rPr>
                <w:rFonts w:ascii="仿宋" w:hAnsi="仿宋" w:eastAsia="仿宋"/>
                <w:color w:val="000000"/>
                <w:sz w:val="24"/>
                <w:szCs w:val="24"/>
              </w:rPr>
              <w:t>12100000466007458M</w:t>
            </w:r>
          </w:p>
          <w:p>
            <w:pPr>
              <w:adjustRightInd w:val="0"/>
              <w:snapToGrid w:val="0"/>
              <w:spacing w:line="400" w:lineRule="exact"/>
              <w:rPr>
                <w:rFonts w:ascii="仿宋" w:hAnsi="仿宋" w:eastAsia="仿宋"/>
                <w:color w:val="000000"/>
                <w:sz w:val="24"/>
                <w:szCs w:val="24"/>
              </w:rPr>
            </w:pPr>
            <w:r>
              <w:rPr>
                <w:rFonts w:ascii="仿宋" w:hAnsi="仿宋" w:eastAsia="仿宋"/>
                <w:color w:val="000000"/>
                <w:sz w:val="24"/>
                <w:szCs w:val="24"/>
              </w:rPr>
              <w:t>地  址：</w:t>
            </w:r>
            <w:bookmarkStart w:id="57" w:name="_Hlk10214471"/>
            <w:r>
              <w:rPr>
                <w:rFonts w:hint="eastAsia" w:ascii="仿宋" w:hAnsi="仿宋" w:eastAsia="仿宋"/>
                <w:color w:val="000000"/>
                <w:sz w:val="24"/>
                <w:szCs w:val="24"/>
              </w:rPr>
              <w:t>南京市栖霞区仙林大道</w:t>
            </w:r>
            <w:r>
              <w:rPr>
                <w:rFonts w:ascii="仿宋" w:hAnsi="仿宋" w:eastAsia="仿宋"/>
                <w:color w:val="000000"/>
                <w:sz w:val="24"/>
                <w:szCs w:val="24"/>
              </w:rPr>
              <w:t>163号</w:t>
            </w:r>
            <w:bookmarkEnd w:id="57"/>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邮政编码：210023</w:t>
            </w: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电  话：</w:t>
            </w: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传  真：</w:t>
            </w:r>
          </w:p>
          <w:p>
            <w:pPr>
              <w:adjustRightInd w:val="0"/>
              <w:snapToGrid w:val="0"/>
              <w:spacing w:line="400" w:lineRule="exact"/>
              <w:rPr>
                <w:rFonts w:ascii="仿宋" w:hAnsi="仿宋" w:eastAsia="仿宋"/>
                <w:color w:val="000000"/>
                <w:sz w:val="24"/>
                <w:szCs w:val="24"/>
              </w:rPr>
            </w:pPr>
            <w:r>
              <w:rPr>
                <w:rFonts w:ascii="仿宋" w:hAnsi="仿宋" w:eastAsia="仿宋"/>
                <w:color w:val="000000"/>
                <w:sz w:val="24"/>
                <w:szCs w:val="24"/>
              </w:rPr>
              <w:t>开户银行：</w:t>
            </w:r>
            <w:r>
              <w:rPr>
                <w:rFonts w:hint="eastAsia" w:ascii="仿宋" w:hAnsi="仿宋" w:eastAsia="仿宋"/>
                <w:color w:val="000000"/>
                <w:sz w:val="24"/>
                <w:szCs w:val="24"/>
              </w:rPr>
              <w:t>工行汉口路支行</w:t>
            </w:r>
          </w:p>
          <w:p>
            <w:pPr>
              <w:adjustRightInd w:val="0"/>
              <w:snapToGrid w:val="0"/>
              <w:spacing w:line="400" w:lineRule="exact"/>
              <w:rPr>
                <w:rFonts w:ascii="仿宋" w:hAnsi="仿宋" w:eastAsia="仿宋"/>
                <w:color w:val="000000"/>
                <w:sz w:val="24"/>
                <w:szCs w:val="24"/>
              </w:rPr>
            </w:pPr>
            <w:r>
              <w:rPr>
                <w:rFonts w:ascii="仿宋" w:hAnsi="仿宋" w:eastAsia="仿宋"/>
                <w:color w:val="000000"/>
                <w:sz w:val="24"/>
                <w:szCs w:val="24"/>
              </w:rPr>
              <w:t>账  号：4301011309001041656</w:t>
            </w:r>
          </w:p>
        </w:tc>
        <w:tc>
          <w:tcPr>
            <w:tcW w:w="4620" w:type="dxa"/>
            <w:shd w:val="clear" w:color="auto" w:fill="auto"/>
          </w:tcPr>
          <w:p>
            <w:pPr>
              <w:spacing w:line="400" w:lineRule="exact"/>
              <w:rPr>
                <w:rFonts w:ascii="仿宋" w:hAnsi="仿宋" w:eastAsia="仿宋"/>
                <w:color w:val="000000"/>
                <w:sz w:val="24"/>
                <w:szCs w:val="24"/>
              </w:rPr>
            </w:pPr>
            <w:r>
              <w:rPr>
                <w:rFonts w:ascii="仿宋" w:hAnsi="仿宋" w:eastAsia="仿宋"/>
                <w:color w:val="000000"/>
                <w:sz w:val="24"/>
                <w:szCs w:val="24"/>
              </w:rPr>
              <w:t>承包人</w:t>
            </w:r>
            <w:r>
              <w:rPr>
                <w:rFonts w:hint="eastAsia" w:ascii="仿宋" w:hAnsi="仿宋" w:eastAsia="仿宋"/>
                <w:color w:val="000000"/>
                <w:sz w:val="24"/>
                <w:szCs w:val="24"/>
              </w:rPr>
              <w:t xml:space="preserve">：  </w:t>
            </w:r>
            <w:r>
              <w:rPr>
                <w:rFonts w:ascii="仿宋" w:hAnsi="仿宋" w:eastAsia="仿宋"/>
                <w:color w:val="000000"/>
                <w:sz w:val="24"/>
                <w:szCs w:val="24"/>
              </w:rPr>
              <w:t>(公章)</w:t>
            </w:r>
          </w:p>
          <w:p>
            <w:pPr>
              <w:adjustRightInd w:val="0"/>
              <w:snapToGrid w:val="0"/>
              <w:spacing w:line="400" w:lineRule="exact"/>
              <w:rPr>
                <w:rFonts w:ascii="仿宋" w:hAnsi="仿宋" w:eastAsia="仿宋"/>
                <w:color w:val="000000"/>
                <w:sz w:val="24"/>
                <w:szCs w:val="24"/>
              </w:rPr>
            </w:pP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法定代表人或其委托代理人：</w:t>
            </w: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（签字）</w:t>
            </w:r>
          </w:p>
          <w:p>
            <w:pPr>
              <w:adjustRightInd w:val="0"/>
              <w:snapToGrid w:val="0"/>
              <w:spacing w:line="400" w:lineRule="exact"/>
              <w:rPr>
                <w:rFonts w:ascii="仿宋" w:hAnsi="仿宋" w:eastAsia="仿宋"/>
                <w:color w:val="000000"/>
                <w:sz w:val="24"/>
                <w:szCs w:val="24"/>
              </w:rPr>
            </w:pP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组织机构代码：</w:t>
            </w:r>
          </w:p>
          <w:p>
            <w:pPr>
              <w:adjustRightInd w:val="0"/>
              <w:snapToGrid w:val="0"/>
              <w:spacing w:line="400" w:lineRule="exact"/>
              <w:rPr>
                <w:rFonts w:ascii="仿宋" w:hAnsi="仿宋" w:eastAsia="仿宋"/>
                <w:color w:val="000000"/>
                <w:sz w:val="24"/>
                <w:szCs w:val="24"/>
              </w:rPr>
            </w:pPr>
            <w:r>
              <w:rPr>
                <w:rFonts w:ascii="仿宋" w:hAnsi="仿宋" w:eastAsia="仿宋"/>
                <w:color w:val="000000"/>
                <w:sz w:val="24"/>
                <w:szCs w:val="24"/>
              </w:rPr>
              <w:t xml:space="preserve">地  址： </w:t>
            </w: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邮政编码：</w:t>
            </w: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电  话：</w:t>
            </w:r>
          </w:p>
          <w:p>
            <w:pPr>
              <w:adjustRightInd w:val="0"/>
              <w:snapToGrid w:val="0"/>
              <w:spacing w:line="400" w:lineRule="exact"/>
              <w:rPr>
                <w:rFonts w:ascii="仿宋" w:hAnsi="仿宋" w:eastAsia="仿宋"/>
                <w:color w:val="000000"/>
                <w:sz w:val="24"/>
                <w:szCs w:val="24"/>
              </w:rPr>
            </w:pPr>
            <w:r>
              <w:rPr>
                <w:rFonts w:hint="eastAsia" w:ascii="仿宋" w:hAnsi="仿宋" w:eastAsia="仿宋"/>
                <w:color w:val="000000"/>
                <w:sz w:val="24"/>
                <w:szCs w:val="24"/>
              </w:rPr>
              <w:t>传  真：</w:t>
            </w:r>
          </w:p>
          <w:p>
            <w:pPr>
              <w:adjustRightInd w:val="0"/>
              <w:snapToGrid w:val="0"/>
              <w:spacing w:line="400" w:lineRule="exact"/>
              <w:rPr>
                <w:rFonts w:ascii="仿宋" w:hAnsi="仿宋" w:eastAsia="仿宋"/>
                <w:color w:val="000000"/>
                <w:sz w:val="24"/>
                <w:szCs w:val="24"/>
              </w:rPr>
            </w:pPr>
            <w:r>
              <w:rPr>
                <w:rFonts w:ascii="仿宋" w:hAnsi="仿宋" w:eastAsia="仿宋"/>
                <w:color w:val="000000"/>
                <w:sz w:val="24"/>
                <w:szCs w:val="24"/>
              </w:rPr>
              <w:t xml:space="preserve">开户银行： </w:t>
            </w:r>
          </w:p>
          <w:p>
            <w:pPr>
              <w:adjustRightInd w:val="0"/>
              <w:snapToGrid w:val="0"/>
              <w:spacing w:line="400" w:lineRule="exact"/>
              <w:rPr>
                <w:rFonts w:ascii="仿宋" w:hAnsi="仿宋" w:eastAsia="仿宋"/>
                <w:color w:val="000000"/>
                <w:sz w:val="24"/>
                <w:szCs w:val="24"/>
              </w:rPr>
            </w:pPr>
            <w:r>
              <w:rPr>
                <w:rFonts w:ascii="仿宋" w:hAnsi="仿宋" w:eastAsia="仿宋"/>
                <w:color w:val="000000"/>
                <w:sz w:val="24"/>
                <w:szCs w:val="24"/>
              </w:rPr>
              <w:t>账  号：</w:t>
            </w:r>
            <w:r>
              <w:rPr>
                <w:rFonts w:hint="eastAsia" w:ascii="仿宋" w:hAnsi="仿宋" w:eastAsia="仿宋"/>
                <w:color w:val="000000"/>
                <w:sz w:val="24"/>
                <w:szCs w:val="24"/>
              </w:rPr>
              <w:t xml:space="preserve"> </w:t>
            </w:r>
          </w:p>
        </w:tc>
      </w:tr>
    </w:tbl>
    <w:p>
      <w:pPr>
        <w:adjustRightInd w:val="0"/>
        <w:snapToGrid w:val="0"/>
        <w:spacing w:line="400" w:lineRule="exact"/>
        <w:jc w:val="center"/>
        <w:rPr>
          <w:rFonts w:ascii="仿宋" w:hAnsi="仿宋" w:eastAsia="仿宋"/>
          <w:b/>
          <w:color w:val="000000"/>
          <w:sz w:val="30"/>
          <w:szCs w:val="30"/>
        </w:rPr>
      </w:pPr>
      <w:r>
        <w:rPr>
          <w:rFonts w:ascii="华文中宋" w:hAnsi="华文中宋" w:eastAsia="华文中宋"/>
          <w:b/>
          <w:color w:val="000000"/>
          <w:sz w:val="32"/>
          <w:szCs w:val="32"/>
        </w:rPr>
        <w:br w:type="page"/>
      </w:r>
      <w:r>
        <w:rPr>
          <w:rFonts w:hint="eastAsia" w:ascii="仿宋" w:hAnsi="仿宋" w:eastAsia="仿宋"/>
          <w:b/>
          <w:color w:val="000000"/>
          <w:sz w:val="30"/>
          <w:szCs w:val="30"/>
        </w:rPr>
        <w:t>第二部分 通用合同条款</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此部分采用《建设工程施工合同》示范文本（GF-2017-0201）中《第二部分 通用合同条款》</w:t>
      </w:r>
    </w:p>
    <w:p>
      <w:pPr>
        <w:adjustRightInd w:val="0"/>
        <w:snapToGrid w:val="0"/>
        <w:spacing w:line="400" w:lineRule="exact"/>
        <w:jc w:val="center"/>
        <w:rPr>
          <w:rFonts w:ascii="仿宋" w:hAnsi="仿宋" w:eastAsia="仿宋"/>
          <w:color w:val="000000"/>
          <w:sz w:val="30"/>
          <w:szCs w:val="30"/>
        </w:rPr>
      </w:pPr>
      <w:r>
        <w:rPr>
          <w:rFonts w:hint="eastAsia" w:ascii="仿宋" w:hAnsi="仿宋" w:eastAsia="仿宋"/>
          <w:b/>
          <w:color w:val="000000"/>
          <w:sz w:val="30"/>
          <w:szCs w:val="30"/>
        </w:rPr>
        <w:t>第三部分 专用合同条款</w:t>
      </w:r>
    </w:p>
    <w:p>
      <w:pPr>
        <w:adjustRightInd w:val="0"/>
        <w:snapToGrid w:val="0"/>
        <w:spacing w:line="400" w:lineRule="exact"/>
        <w:ind w:firstLine="482" w:firstLineChars="200"/>
        <w:rPr>
          <w:rFonts w:ascii="仿宋_GB2312" w:eastAsia="仿宋_GB2312"/>
          <w:b/>
          <w:bCs/>
          <w:color w:val="000000"/>
          <w:sz w:val="24"/>
        </w:rPr>
      </w:pPr>
      <w:r>
        <w:rPr>
          <w:rFonts w:hint="eastAsia" w:ascii="仿宋_GB2312" w:eastAsia="仿宋_GB2312"/>
          <w:b/>
          <w:bCs/>
          <w:color w:val="000000"/>
          <w:sz w:val="24"/>
        </w:rPr>
        <w:t>一、一般约定</w:t>
      </w:r>
    </w:p>
    <w:p>
      <w:pPr>
        <w:adjustRightInd w:val="0"/>
        <w:snapToGrid w:val="0"/>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1.1适用法律、标准及规范</w:t>
      </w:r>
    </w:p>
    <w:p>
      <w:pPr>
        <w:adjustRightInd w:val="0"/>
        <w:snapToGrid w:val="0"/>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1.1.1适用法律和法规：</w:t>
      </w:r>
      <w:r>
        <w:rPr>
          <w:rFonts w:hint="eastAsia" w:ascii="仿宋_GB2312" w:eastAsia="仿宋_GB2312"/>
          <w:bCs/>
          <w:color w:val="000000"/>
          <w:sz w:val="24"/>
          <w:u w:val="single"/>
        </w:rPr>
        <w:t>现行的国家法律和行政法规，工程所在地政府的有关法规和规章</w:t>
      </w:r>
      <w:r>
        <w:rPr>
          <w:rFonts w:hint="eastAsia" w:ascii="仿宋_GB2312" w:eastAsia="仿宋_GB2312"/>
          <w:bCs/>
          <w:color w:val="000000"/>
          <w:sz w:val="24"/>
        </w:rPr>
        <w:t>。</w:t>
      </w:r>
    </w:p>
    <w:p>
      <w:pPr>
        <w:adjustRightInd w:val="0"/>
        <w:snapToGrid w:val="0"/>
        <w:spacing w:line="400" w:lineRule="exact"/>
        <w:ind w:left="482"/>
        <w:rPr>
          <w:rFonts w:ascii="仿宋_GB2312" w:eastAsia="仿宋_GB2312"/>
          <w:bCs/>
          <w:color w:val="000000"/>
          <w:sz w:val="24"/>
        </w:rPr>
      </w:pPr>
      <w:r>
        <w:rPr>
          <w:rFonts w:hint="eastAsia" w:ascii="仿宋_GB2312" w:eastAsia="仿宋_GB2312"/>
          <w:bCs/>
          <w:color w:val="000000"/>
          <w:sz w:val="24"/>
        </w:rPr>
        <w:t>1.1.2适用标准、规范：</w:t>
      </w:r>
      <w:r>
        <w:rPr>
          <w:rFonts w:hint="eastAsia" w:ascii="仿宋_GB2312" w:eastAsia="仿宋_GB2312"/>
          <w:bCs/>
          <w:color w:val="000000"/>
          <w:sz w:val="24"/>
          <w:u w:val="single"/>
        </w:rPr>
        <w:t>现行的国家和地方标准、规范、行业标准、规范等</w:t>
      </w:r>
      <w:r>
        <w:rPr>
          <w:rFonts w:hint="eastAsia" w:ascii="仿宋_GB2312" w:eastAsia="仿宋_GB2312"/>
          <w:bCs/>
          <w:color w:val="000000"/>
          <w:sz w:val="24"/>
        </w:rPr>
        <w:t>。</w:t>
      </w:r>
    </w:p>
    <w:p>
      <w:pPr>
        <w:adjustRightInd w:val="0"/>
        <w:snapToGrid w:val="0"/>
        <w:spacing w:line="400" w:lineRule="exact"/>
        <w:ind w:left="482"/>
        <w:rPr>
          <w:rFonts w:ascii="仿宋_GB2312" w:eastAsia="仿宋_GB2312"/>
          <w:bCs/>
          <w:color w:val="000000"/>
          <w:sz w:val="24"/>
        </w:rPr>
      </w:pPr>
      <w:r>
        <w:rPr>
          <w:rFonts w:hint="eastAsia" w:ascii="仿宋_GB2312" w:eastAsia="仿宋_GB2312"/>
          <w:bCs/>
          <w:color w:val="000000"/>
          <w:sz w:val="24"/>
        </w:rPr>
        <w:t>1.1.3国内没有相应标准、规范时的约定：</w:t>
      </w:r>
      <w:r>
        <w:rPr>
          <w:rFonts w:hint="eastAsia" w:ascii="仿宋_GB2312" w:eastAsia="仿宋_GB2312"/>
          <w:bCs/>
          <w:color w:val="000000"/>
          <w:sz w:val="24"/>
          <w:u w:val="single"/>
        </w:rPr>
        <w:t>按行业标准或施工企业标准</w:t>
      </w:r>
      <w:r>
        <w:rPr>
          <w:rFonts w:hint="eastAsia" w:ascii="仿宋_GB2312" w:eastAsia="仿宋_GB2312"/>
          <w:bCs/>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bCs/>
          <w:color w:val="000000"/>
          <w:sz w:val="24"/>
        </w:rPr>
        <w:t>1.2.合同文件及优先顺序：</w:t>
      </w:r>
      <w:r>
        <w:rPr>
          <w:rFonts w:hint="eastAsia" w:ascii="仿宋_GB2312" w:eastAsia="仿宋_GB2312"/>
          <w:bCs/>
          <w:color w:val="000000"/>
          <w:sz w:val="24"/>
          <w:u w:val="single"/>
        </w:rPr>
        <w:t>合同协议书；明确双方权利、义务的纪要、协议；中标通知书（如果有）；</w:t>
      </w:r>
      <w:r>
        <w:rPr>
          <w:rFonts w:hint="eastAsia" w:ascii="仿宋_GB2312" w:eastAsia="仿宋_GB2312"/>
          <w:color w:val="000000"/>
          <w:sz w:val="24"/>
          <w:u w:val="single"/>
        </w:rPr>
        <w:t>投标函及其附录（如果有）；专用合同条款及其附件；补充协议（包括承诺书）；通用合同条款；响应文件、询价文件；图纸；已标价工程量清单或预算书；技术标准和要求；其他合同文件</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1.3.图纸和承包人文件</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1.3.1发包人向承包人提供图纸期限和数量：</w:t>
      </w:r>
      <w:r>
        <w:rPr>
          <w:rFonts w:hint="eastAsia" w:ascii="仿宋_GB2312" w:eastAsia="仿宋_GB2312"/>
          <w:color w:val="000000"/>
          <w:sz w:val="24"/>
          <w:u w:val="single"/>
        </w:rPr>
        <w:t>开工前提供2套</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1.3.2发包人对图纸的保密要求：</w:t>
      </w:r>
      <w:r>
        <w:rPr>
          <w:rFonts w:hint="eastAsia" w:ascii="仿宋_GB2312" w:eastAsia="仿宋_GB2312"/>
          <w:color w:val="000000"/>
          <w:sz w:val="24"/>
          <w:u w:val="single"/>
        </w:rPr>
        <w:t>除施工单位及审计单位外，不得向其它单位或个人泄露</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color w:val="000000"/>
          <w:sz w:val="24"/>
        </w:rPr>
        <w:t>1.3.3需要由承包人提供的文件，包括：</w:t>
      </w:r>
      <w:r>
        <w:rPr>
          <w:rFonts w:hint="eastAsia" w:ascii="仿宋_GB2312" w:eastAsia="仿宋_GB2312"/>
          <w:color w:val="000000"/>
          <w:sz w:val="24"/>
          <w:u w:val="single"/>
        </w:rPr>
        <w:t>施工总进度计划、月进度计划、周进度计划、甲供材采购计划及发包人要求提供</w:t>
      </w:r>
      <w:r>
        <w:rPr>
          <w:rFonts w:hint="eastAsia" w:ascii="仿宋_GB2312" w:eastAsia="仿宋_GB2312"/>
          <w:sz w:val="24"/>
          <w:u w:val="single"/>
        </w:rPr>
        <w:t>的合理范围内的其他文件资料</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1.3.4承包人提供文件的期限为：</w:t>
      </w:r>
      <w:r>
        <w:rPr>
          <w:rFonts w:hint="eastAsia" w:ascii="仿宋_GB2312" w:eastAsia="仿宋_GB2312"/>
          <w:sz w:val="24"/>
          <w:u w:val="single"/>
        </w:rPr>
        <w:t>合同签订后7日内提供施工总进度计划；每月5日前提供上月已完工程量报表（含变更及签证预算）、每月25日前提供下月详细的施工进度计划等资料；甲供材采购计划应至少提前一个月提交至发包人（甲供材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1.3.5承包人提供文件的形式和数量：</w:t>
      </w:r>
      <w:r>
        <w:rPr>
          <w:rFonts w:hint="eastAsia" w:ascii="仿宋_GB2312" w:eastAsia="仿宋_GB2312"/>
          <w:sz w:val="24"/>
          <w:u w:val="single"/>
        </w:rPr>
        <w:t>书面文件2套</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1.4工程量清单错误的修正</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1.4.1出现工程量清单错误时，是否调整合同价格：</w:t>
      </w:r>
      <w:r>
        <w:rPr>
          <w:rFonts w:hint="eastAsia" w:ascii="仿宋_GB2312" w:eastAsia="仿宋_GB2312"/>
          <w:sz w:val="24"/>
          <w:u w:val="single"/>
        </w:rPr>
        <w:t>工程量清单有缺项和漏项按</w:t>
      </w:r>
      <w:r>
        <w:rPr>
          <w:rFonts w:ascii="仿宋_GB2312" w:eastAsia="仿宋_GB2312"/>
          <w:sz w:val="24"/>
          <w:u w:val="single"/>
        </w:rPr>
        <w:t>7.1.3</w:t>
      </w:r>
      <w:r>
        <w:rPr>
          <w:rFonts w:hint="eastAsia" w:ascii="仿宋_GB2312" w:eastAsia="仿宋_GB2312"/>
          <w:sz w:val="24"/>
          <w:u w:val="single"/>
        </w:rPr>
        <w:t>调整</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1.4.2允许调整合同价格的工程量偏差范围：</w:t>
      </w:r>
      <w:r>
        <w:rPr>
          <w:rFonts w:hint="eastAsia" w:ascii="仿宋_GB2312" w:eastAsia="仿宋_GB2312"/>
          <w:sz w:val="24"/>
          <w:u w:val="single"/>
        </w:rPr>
        <w:t>工程量清单偏差调整按分部分项单项工程量变更超过15%，并且该项分部分项工程费超过总分部分项工程费的1%的</w:t>
      </w:r>
      <w:r>
        <w:rPr>
          <w:rFonts w:hint="eastAsia" w:ascii="仿宋_GB2312" w:eastAsia="仿宋_GB2312"/>
          <w:sz w:val="24"/>
        </w:rPr>
        <w:t>。</w:t>
      </w:r>
    </w:p>
    <w:p>
      <w:pPr>
        <w:adjustRightInd w:val="0"/>
        <w:snapToGrid w:val="0"/>
        <w:spacing w:line="400" w:lineRule="exact"/>
        <w:ind w:firstLine="482" w:firstLineChars="200"/>
        <w:rPr>
          <w:rFonts w:ascii="仿宋_GB2312" w:eastAsia="仿宋_GB2312"/>
          <w:b/>
          <w:bCs/>
          <w:color w:val="000000"/>
          <w:sz w:val="24"/>
        </w:rPr>
      </w:pPr>
      <w:r>
        <w:rPr>
          <w:rFonts w:hint="eastAsia" w:ascii="仿宋_GB2312" w:eastAsia="仿宋_GB2312"/>
          <w:b/>
          <w:bCs/>
          <w:color w:val="000000"/>
          <w:sz w:val="24"/>
        </w:rPr>
        <w:t>二、合同当事人及其他相关方一般权利和义务</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2.1发包人</w:t>
      </w:r>
    </w:p>
    <w:p>
      <w:pPr>
        <w:adjustRightInd w:val="0"/>
        <w:snapToGrid w:val="0"/>
        <w:spacing w:line="400" w:lineRule="exact"/>
        <w:ind w:firstLine="480" w:firstLineChars="200"/>
        <w:rPr>
          <w:rFonts w:ascii="仿宋_GB2312" w:eastAsia="仿宋_GB2312"/>
          <w:sz w:val="24"/>
        </w:rPr>
      </w:pPr>
      <w:r>
        <w:rPr>
          <w:rFonts w:hint="eastAsia" w:ascii="仿宋_GB2312" w:eastAsia="仿宋_GB2312"/>
          <w:color w:val="000000"/>
          <w:sz w:val="24"/>
        </w:rPr>
        <w:t>2.1.1发包人代表</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（1）发包人代表姓名：</w:t>
      </w:r>
      <w:r>
        <w:rPr>
          <w:rFonts w:hint="eastAsia" w:ascii="仿宋_GB2312" w:eastAsia="仿宋_GB2312"/>
          <w:sz w:val="24"/>
          <w:u w:val="single"/>
        </w:rPr>
        <w:t xml:space="preserve">       </w:t>
      </w:r>
      <w:r>
        <w:rPr>
          <w:rFonts w:hint="eastAsia" w:ascii="仿宋_GB2312" w:eastAsia="仿宋_GB2312"/>
          <w:sz w:val="24"/>
        </w:rPr>
        <w:t>，联系电话：</w:t>
      </w:r>
      <w:r>
        <w:rPr>
          <w:rFonts w:hint="eastAsia" w:ascii="仿宋_GB2312" w:eastAsia="仿宋_GB2312"/>
          <w:sz w:val="24"/>
          <w:u w:val="single"/>
        </w:rPr>
        <w:t xml:space="preserve">            </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（2）发包人对发包人代表的授权如下：</w:t>
      </w:r>
      <w:r>
        <w:rPr>
          <w:rFonts w:hint="eastAsia" w:ascii="仿宋_GB2312" w:eastAsia="仿宋_GB2312"/>
          <w:sz w:val="24"/>
          <w:u w:val="single"/>
        </w:rPr>
        <w:t>工程量变更签证、工期顺延签证、向承包人支付的各种款项、分包单位的确认等发包人行使的权利和义务。本合同实施过程中，所有应由承包人负责又需发包人派驻代表/监理审批或确认的事项均不能免除或减轻承包人应负的合同责任</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u w:val="single"/>
        </w:rPr>
        <w:t>（3）除发包人代表外，发包人派驻工地的其他人员无权向承包人发出任何指令</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bCs/>
          <w:color w:val="000000"/>
          <w:sz w:val="24"/>
        </w:rPr>
      </w:pPr>
      <w:r>
        <w:rPr>
          <w:rFonts w:hint="eastAsia" w:ascii="仿宋_GB2312" w:eastAsia="仿宋_GB2312"/>
          <w:sz w:val="24"/>
          <w:u w:val="single"/>
        </w:rPr>
        <w:t>（4）发包人代表的指令、通知由其本人签字后，以书面形式发出。确有必要时，发包人代表可以发出口头指令，并在72小时内给予书面确认，承包人对发包人代表的</w:t>
      </w:r>
      <w:r>
        <w:rPr>
          <w:rFonts w:hint="eastAsia" w:ascii="仿宋_GB2312" w:eastAsia="仿宋_GB2312"/>
          <w:color w:val="000000"/>
          <w:sz w:val="24"/>
          <w:u w:val="single"/>
        </w:rPr>
        <w:t>指令应予执行。发包人代表不能及时给予书面确认的，承包人应于发包人代表发出口头指令后7日内提出书面确认要求。发包人代表在承包人提出确认要求后48小时内不予答复的，视为口头指令已被确认</w:t>
      </w:r>
      <w:r>
        <w:rPr>
          <w:rFonts w:hint="eastAsia" w:ascii="仿宋_GB2312" w:eastAsia="仿宋_GB2312"/>
          <w:color w:val="000000"/>
          <w:sz w:val="24"/>
        </w:rPr>
        <w:t>。</w:t>
      </w:r>
    </w:p>
    <w:p>
      <w:pPr>
        <w:adjustRightInd w:val="0"/>
        <w:snapToGrid w:val="0"/>
        <w:spacing w:line="400" w:lineRule="exact"/>
        <w:ind w:left="482"/>
        <w:rPr>
          <w:rFonts w:ascii="仿宋_GB2312" w:eastAsia="仿宋_GB2312"/>
          <w:bCs/>
          <w:color w:val="000000"/>
          <w:sz w:val="24"/>
        </w:rPr>
      </w:pPr>
      <w:r>
        <w:rPr>
          <w:rFonts w:hint="eastAsia" w:ascii="仿宋_GB2312" w:eastAsia="仿宋_GB2312"/>
          <w:bCs/>
          <w:color w:val="000000"/>
          <w:sz w:val="24"/>
        </w:rPr>
        <w:t>2.1.2发包人的一般义务</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（1）发包人移交施工现场的期限要求：</w:t>
      </w:r>
      <w:r>
        <w:rPr>
          <w:rFonts w:hint="eastAsia" w:ascii="仿宋_GB2312" w:eastAsia="仿宋_GB2312"/>
          <w:color w:val="000000"/>
          <w:sz w:val="24"/>
          <w:u w:val="single"/>
        </w:rPr>
        <w:t>发包人在开工前保证施工现场具备开工条件，若有不全事项，承包人自行完善，费用已包含在报价中</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（2）将施工所需的水、电线路接至施工场地的时间、地点和供应要求：</w:t>
      </w:r>
    </w:p>
    <w:p>
      <w:pPr>
        <w:adjustRightInd w:val="0"/>
        <w:snapToGrid w:val="0"/>
        <w:spacing w:line="400" w:lineRule="exact"/>
        <w:ind w:firstLine="720" w:firstLineChars="300"/>
        <w:rPr>
          <w:rFonts w:ascii="仿宋_GB2312" w:eastAsia="仿宋_GB2312"/>
          <w:color w:val="000000"/>
          <w:sz w:val="24"/>
          <w:u w:val="single"/>
        </w:rPr>
      </w:pPr>
      <w:r>
        <w:rPr>
          <w:rFonts w:hint="eastAsia" w:ascii="仿宋_GB2312" w:eastAsia="仿宋_GB2312"/>
          <w:color w:val="000000"/>
          <w:sz w:val="24"/>
        </w:rPr>
        <w:t>①</w:t>
      </w:r>
      <w:r>
        <w:rPr>
          <w:rFonts w:hint="eastAsia" w:ascii="仿宋_GB2312" w:eastAsia="仿宋_GB2312"/>
          <w:color w:val="000000"/>
          <w:sz w:val="24"/>
          <w:u w:val="single"/>
        </w:rPr>
        <w:t>开工前，发包人将水、电由接至施工现场并提供临时水、电接口；承包人在发包人指定位置安装水、电表，并接出符合安全要求的供电电缆、供水管线至施工区域。工程所需水、电全部费用均由承包人承担，配电箱、电表、水表由承包人自备</w:t>
      </w:r>
      <w:r>
        <w:rPr>
          <w:rFonts w:hint="eastAsia" w:ascii="仿宋_GB2312" w:eastAsia="仿宋_GB2312"/>
          <w:color w:val="000000"/>
          <w:sz w:val="24"/>
        </w:rPr>
        <w:t>。</w:t>
      </w:r>
    </w:p>
    <w:p>
      <w:pPr>
        <w:adjustRightInd w:val="0"/>
        <w:snapToGrid w:val="0"/>
        <w:spacing w:line="400" w:lineRule="exact"/>
        <w:ind w:firstLine="720" w:firstLineChars="300"/>
        <w:rPr>
          <w:rFonts w:ascii="仿宋_GB2312" w:eastAsia="仿宋_GB2312"/>
          <w:color w:val="000000"/>
          <w:sz w:val="24"/>
          <w:u w:val="single"/>
        </w:rPr>
      </w:pPr>
      <w:r>
        <w:rPr>
          <w:rFonts w:hint="eastAsia" w:ascii="仿宋_GB2312" w:eastAsia="仿宋_GB2312"/>
          <w:color w:val="000000"/>
          <w:sz w:val="24"/>
        </w:rPr>
        <w:t>②</w:t>
      </w:r>
      <w:r>
        <w:rPr>
          <w:rFonts w:hint="eastAsia" w:ascii="仿宋_GB2312" w:eastAsia="仿宋_GB2312"/>
          <w:color w:val="000000"/>
          <w:sz w:val="24"/>
          <w:u w:val="single"/>
        </w:rPr>
        <w:t>承包人负责水电管理，确保现场接电、接水以及相关安全事宜</w:t>
      </w:r>
      <w:r>
        <w:rPr>
          <w:rFonts w:hint="eastAsia" w:ascii="仿宋_GB2312" w:eastAsia="仿宋_GB2312"/>
          <w:color w:val="000000"/>
          <w:sz w:val="24"/>
        </w:rPr>
        <w:t>。</w:t>
      </w:r>
    </w:p>
    <w:p>
      <w:pPr>
        <w:adjustRightInd w:val="0"/>
        <w:snapToGrid w:val="0"/>
        <w:spacing w:line="400" w:lineRule="exact"/>
        <w:ind w:firstLine="720" w:firstLineChars="300"/>
        <w:rPr>
          <w:rFonts w:ascii="仿宋_GB2312" w:eastAsia="仿宋_GB2312"/>
          <w:color w:val="000000"/>
          <w:sz w:val="24"/>
          <w:u w:val="single"/>
        </w:rPr>
      </w:pPr>
      <w:r>
        <w:rPr>
          <w:rFonts w:hint="eastAsia" w:ascii="仿宋_GB2312" w:eastAsia="仿宋_GB2312"/>
          <w:color w:val="000000"/>
          <w:sz w:val="24"/>
        </w:rPr>
        <w:t>③</w:t>
      </w:r>
      <w:r>
        <w:rPr>
          <w:rFonts w:hint="eastAsia" w:ascii="仿宋_GB2312" w:eastAsia="仿宋_GB2312"/>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（3）施工场地与公共道路通道开通时间和要求：</w:t>
      </w:r>
      <w:r>
        <w:rPr>
          <w:rFonts w:hint="eastAsia" w:ascii="仿宋_GB2312" w:eastAsia="仿宋_GB2312"/>
          <w:color w:val="000000"/>
          <w:sz w:val="24"/>
          <w:u w:val="single"/>
        </w:rPr>
        <w:t>按现有道路使用</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（4）协调处理施工场地周围地下管线和邻近建筑物、构筑物（含文物保护建筑）、古树名木的保护工作：</w:t>
      </w:r>
      <w:r>
        <w:rPr>
          <w:rFonts w:hint="eastAsia" w:ascii="仿宋_GB2312" w:eastAsia="仿宋_GB2312"/>
          <w:color w:val="000000"/>
          <w:sz w:val="24"/>
          <w:u w:val="single"/>
        </w:rPr>
        <w:t>发包人与相关部门协调处理，承包人积极配合</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color w:val="000000"/>
          <w:sz w:val="24"/>
        </w:rPr>
        <w:t>2.2承包人</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2.2.1项目经理</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（1）项目经理姓名：</w:t>
      </w:r>
      <w:r>
        <w:rPr>
          <w:rFonts w:hint="eastAsia" w:ascii="仿宋_GB2312" w:eastAsia="仿宋_GB2312"/>
          <w:sz w:val="24"/>
          <w:u w:val="single"/>
        </w:rPr>
        <w:t xml:space="preserve">      </w:t>
      </w:r>
      <w:r>
        <w:rPr>
          <w:rFonts w:hint="eastAsia" w:ascii="仿宋_GB2312" w:eastAsia="仿宋_GB2312"/>
          <w:sz w:val="24"/>
        </w:rPr>
        <w:t>，联系电话：</w:t>
      </w:r>
      <w:r>
        <w:rPr>
          <w:rFonts w:hint="eastAsia" w:ascii="仿宋_GB2312" w:eastAsia="仿宋_GB2312"/>
          <w:sz w:val="24"/>
          <w:u w:val="single"/>
        </w:rPr>
        <w:t xml:space="preserve">         </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（2）承包人对项目经理的授权范围如下：</w:t>
      </w:r>
      <w:r>
        <w:rPr>
          <w:rFonts w:hint="eastAsia" w:ascii="仿宋_GB2312" w:eastAsia="仿宋_GB2312"/>
          <w:sz w:val="24"/>
          <w:u w:val="single"/>
        </w:rPr>
        <w:t>作为承包人在项目的授权代表，全面履行工程项目的承包管理职责，为工程参与各方做好协调和服务，在资金、质量、安全、环境保护、文明施工等合约目标范围向发包人直接负责</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（3）关于项目经理每月在施工现场的时间要求：</w:t>
      </w:r>
      <w:r>
        <w:rPr>
          <w:rFonts w:hint="eastAsia" w:ascii="仿宋_GB2312" w:eastAsia="仿宋_GB2312"/>
          <w:sz w:val="24"/>
          <w:u w:val="single"/>
        </w:rPr>
        <w:t>项目经理本人每天至少8小时，每周不少于5天在本工程现场工作，且必须参加工地例会，离开工地需经发包人及总监理工程师同意后方可离开</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（4）项目经理未经批准，擅自离开施工现场的违约责任：</w:t>
      </w:r>
      <w:r>
        <w:rPr>
          <w:rFonts w:hint="eastAsia" w:ascii="仿宋_GB2312" w:eastAsia="仿宋_GB2312"/>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w:t>
      </w:r>
      <w:r>
        <w:rPr>
          <w:rFonts w:hint="eastAsia" w:ascii="仿宋_GB2312" w:eastAsia="仿宋_GB2312"/>
          <w:color w:val="000000"/>
          <w:sz w:val="24"/>
          <w:u w:val="single"/>
        </w:rPr>
        <w:t>承包人若因工程质量、安全管理、进度管理、文明管理等原因而导致项目经理被责令更换的，由承包人按合同总价款的2%/人次向发包人支付违约金</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2.2.2承包人的一般义务</w:t>
      </w:r>
    </w:p>
    <w:p>
      <w:pPr>
        <w:adjustRightInd w:val="0"/>
        <w:snapToGrid w:val="0"/>
        <w:spacing w:line="400" w:lineRule="exact"/>
        <w:ind w:firstLine="480" w:firstLineChars="200"/>
        <w:rPr>
          <w:rFonts w:ascii="仿宋_GB2312" w:eastAsia="仿宋_GB2312"/>
          <w:bCs/>
          <w:sz w:val="24"/>
        </w:rPr>
      </w:pPr>
      <w:r>
        <w:rPr>
          <w:rFonts w:hint="eastAsia" w:ascii="仿宋_GB2312" w:eastAsia="仿宋_GB2312"/>
          <w:bCs/>
          <w:sz w:val="24"/>
        </w:rPr>
        <w:t>（1）承担施工安全保卫工作及非夜间施工照明的责任和要求：</w:t>
      </w:r>
      <w:r>
        <w:rPr>
          <w:rFonts w:hint="eastAsia" w:ascii="仿宋_GB2312" w:eastAsia="仿宋_GB2312"/>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hint="eastAsia" w:ascii="仿宋_GB2312" w:eastAsia="仿宋_GB2312"/>
          <w:bCs/>
          <w:sz w:val="24"/>
        </w:rPr>
        <w:t>。</w:t>
      </w:r>
    </w:p>
    <w:p>
      <w:pPr>
        <w:adjustRightInd w:val="0"/>
        <w:snapToGrid w:val="0"/>
        <w:spacing w:line="400" w:lineRule="exact"/>
        <w:ind w:firstLine="480" w:firstLineChars="200"/>
        <w:rPr>
          <w:rFonts w:ascii="仿宋_GB2312" w:eastAsia="仿宋_GB2312"/>
          <w:bCs/>
          <w:sz w:val="24"/>
        </w:rPr>
      </w:pPr>
      <w:r>
        <w:rPr>
          <w:rFonts w:hint="eastAsia" w:ascii="仿宋_GB2312" w:eastAsia="仿宋_GB2312"/>
          <w:bCs/>
          <w:sz w:val="24"/>
        </w:rPr>
        <w:t>（2）需承包人办理的有关施工场地交通、环卫和施工噪音管理等手续：</w:t>
      </w:r>
      <w:r>
        <w:rPr>
          <w:rFonts w:hint="eastAsia" w:ascii="仿宋_GB2312" w:eastAsia="仿宋_GB2312"/>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hint="eastAsia" w:ascii="仿宋_GB2312" w:eastAsia="仿宋_GB2312"/>
          <w:bCs/>
          <w:sz w:val="24"/>
        </w:rPr>
        <w:t>。</w:t>
      </w:r>
    </w:p>
    <w:p>
      <w:pPr>
        <w:adjustRightInd w:val="0"/>
        <w:snapToGrid w:val="0"/>
        <w:spacing w:line="400" w:lineRule="exact"/>
        <w:ind w:firstLine="480" w:firstLineChars="200"/>
        <w:rPr>
          <w:rFonts w:ascii="仿宋_GB2312" w:eastAsia="仿宋_GB2312"/>
          <w:bCs/>
          <w:sz w:val="24"/>
        </w:rPr>
      </w:pPr>
      <w:r>
        <w:rPr>
          <w:rFonts w:hint="eastAsia" w:ascii="仿宋_GB2312" w:eastAsia="仿宋_GB2312"/>
          <w:bCs/>
          <w:color w:val="000000"/>
          <w:sz w:val="24"/>
        </w:rPr>
        <w:t>（3）施工场地周围地下管线和邻</w:t>
      </w:r>
      <w:r>
        <w:rPr>
          <w:rFonts w:hint="eastAsia" w:ascii="仿宋_GB2312" w:eastAsia="仿宋_GB2312"/>
          <w:bCs/>
          <w:sz w:val="24"/>
        </w:rPr>
        <w:t>近建筑物、构筑物(含文物保护建筑)、古树名木的保护要求及费用承担：</w:t>
      </w:r>
      <w:r>
        <w:rPr>
          <w:rFonts w:hint="eastAsia" w:ascii="仿宋_GB2312" w:eastAsia="仿宋_GB2312"/>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hint="eastAsia" w:ascii="仿宋_GB2312" w:eastAsia="仿宋_GB2312"/>
          <w:bCs/>
          <w:sz w:val="24"/>
        </w:rPr>
        <w:t>。</w:t>
      </w:r>
    </w:p>
    <w:p>
      <w:pPr>
        <w:adjustRightInd w:val="0"/>
        <w:snapToGrid w:val="0"/>
        <w:spacing w:line="400" w:lineRule="exact"/>
        <w:ind w:firstLine="480" w:firstLineChars="200"/>
        <w:rPr>
          <w:rFonts w:ascii="仿宋_GB2312" w:eastAsia="仿宋_GB2312"/>
          <w:bCs/>
          <w:sz w:val="24"/>
        </w:rPr>
      </w:pPr>
      <w:r>
        <w:rPr>
          <w:rFonts w:hint="eastAsia" w:ascii="仿宋_GB2312" w:eastAsia="仿宋_GB2312"/>
          <w:bCs/>
          <w:sz w:val="24"/>
        </w:rPr>
        <w:t>（4）施工场地清洁卫生的要求：</w:t>
      </w:r>
      <w:r>
        <w:rPr>
          <w:rFonts w:hint="eastAsia" w:ascii="仿宋_GB2312" w:eastAsia="仿宋_GB2312"/>
          <w:bCs/>
          <w:sz w:val="24"/>
          <w:u w:val="single"/>
        </w:rPr>
        <w:t>负责与环保、城管、市容、交管、公安等政治部门的沟通、协调工作，并办理相关手续及承担相关费用。必须按发包人相关规定及有关要求的市文明现场等级进行现场文明施工管理</w:t>
      </w:r>
      <w:r>
        <w:rPr>
          <w:rFonts w:hint="eastAsia" w:ascii="仿宋_GB2312" w:eastAsia="仿宋_GB2312"/>
          <w:bCs/>
          <w:sz w:val="24"/>
        </w:rPr>
        <w:t>。</w:t>
      </w:r>
    </w:p>
    <w:p>
      <w:pPr>
        <w:adjustRightInd w:val="0"/>
        <w:snapToGrid w:val="0"/>
        <w:spacing w:line="400" w:lineRule="exact"/>
        <w:ind w:firstLine="480" w:firstLineChars="200"/>
        <w:rPr>
          <w:rFonts w:ascii="仿宋_GB2312" w:eastAsia="仿宋_GB2312"/>
          <w:bCs/>
          <w:color w:val="000000"/>
          <w:sz w:val="24"/>
        </w:rPr>
      </w:pPr>
      <w:r>
        <w:rPr>
          <w:rFonts w:hint="eastAsia" w:ascii="仿宋_GB2312" w:eastAsia="仿宋_GB2312"/>
          <w:bCs/>
          <w:sz w:val="24"/>
        </w:rPr>
        <w:t>（5）原有及已完工程成品保护的特殊要求及费用承担：</w:t>
      </w:r>
      <w:r>
        <w:rPr>
          <w:rFonts w:hint="eastAsia" w:ascii="仿宋_GB2312" w:eastAsia="仿宋_GB2312"/>
          <w:bCs/>
          <w:sz w:val="24"/>
          <w:u w:val="single"/>
        </w:rPr>
        <w:t>工程交付前非发包人原因造成原有及已完成的成品、半成品工程的损坏，承包人承担</w:t>
      </w:r>
      <w:r>
        <w:rPr>
          <w:rFonts w:hint="eastAsia" w:ascii="仿宋_GB2312" w:eastAsia="仿宋_GB2312"/>
          <w:bCs/>
          <w:color w:val="000000"/>
          <w:sz w:val="24"/>
          <w:u w:val="single"/>
        </w:rPr>
        <w:t>责任。承包人的现场施工人员未经发包人同意不得居住在施工实体内，一经发现必须立即搬出，并视情况向发包人支付1000元/天人的现场管理违约金</w:t>
      </w:r>
      <w:r>
        <w:rPr>
          <w:rFonts w:hint="eastAsia" w:ascii="仿宋_GB2312" w:eastAsia="仿宋_GB2312"/>
          <w:bCs/>
          <w:color w:val="000000"/>
          <w:sz w:val="24"/>
        </w:rPr>
        <w:t>。</w:t>
      </w:r>
    </w:p>
    <w:p>
      <w:pPr>
        <w:adjustRightInd w:val="0"/>
        <w:snapToGrid w:val="0"/>
        <w:spacing w:line="400" w:lineRule="exact"/>
        <w:ind w:firstLine="480" w:firstLineChars="200"/>
        <w:rPr>
          <w:rFonts w:ascii="仿宋_GB2312" w:eastAsia="仿宋_GB2312"/>
          <w:bCs/>
          <w:color w:val="000000"/>
          <w:sz w:val="24"/>
          <w:u w:val="single"/>
        </w:rPr>
      </w:pPr>
      <w:r>
        <w:rPr>
          <w:rFonts w:hint="eastAsia" w:ascii="仿宋_GB2312" w:eastAsia="仿宋_GB2312"/>
          <w:bCs/>
          <w:color w:val="000000"/>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pPr>
        <w:adjustRightInd w:val="0"/>
        <w:snapToGrid w:val="0"/>
        <w:spacing w:line="400" w:lineRule="exact"/>
        <w:ind w:firstLine="480" w:firstLineChars="200"/>
        <w:rPr>
          <w:rFonts w:ascii="仿宋_GB2312" w:eastAsia="仿宋_GB2312"/>
          <w:sz w:val="24"/>
          <w:u w:val="single"/>
        </w:rPr>
      </w:pPr>
      <w:r>
        <w:rPr>
          <w:rFonts w:hint="eastAsia" w:ascii="仿宋_GB2312" w:eastAsia="仿宋_GB2312"/>
          <w:bCs/>
          <w:color w:val="000000"/>
          <w:sz w:val="24"/>
          <w:u w:val="single"/>
        </w:rPr>
        <w:t>（7）承包人施工过程中应爱护场区及以外的道路、绿化及其他设施，并遵守发包人、发包人委托的物业管理公司以及监理工程师的现场管理的有关规章制度，否则，所造成的后</w:t>
      </w:r>
      <w:r>
        <w:rPr>
          <w:rFonts w:hint="eastAsia" w:ascii="仿宋_GB2312" w:eastAsia="仿宋_GB2312"/>
          <w:bCs/>
          <w:sz w:val="24"/>
          <w:u w:val="single"/>
        </w:rPr>
        <w:t>果由承包人负责。</w:t>
      </w:r>
    </w:p>
    <w:p>
      <w:pPr>
        <w:adjustRightInd w:val="0"/>
        <w:snapToGrid w:val="0"/>
        <w:spacing w:line="400" w:lineRule="exact"/>
        <w:ind w:firstLine="480" w:firstLineChars="200"/>
        <w:rPr>
          <w:rFonts w:ascii="仿宋_GB2312" w:eastAsia="仿宋_GB2312"/>
          <w:bCs/>
          <w:sz w:val="24"/>
          <w:u w:val="single"/>
        </w:rPr>
      </w:pPr>
      <w:r>
        <w:rPr>
          <w:rFonts w:hint="eastAsia" w:ascii="仿宋_GB2312" w:eastAsia="仿宋_GB2312"/>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用按照《南京大学停车收费管理实施办法》（南字发[2018]4号）执行，费用由承包人承担。</w:t>
      </w:r>
    </w:p>
    <w:p>
      <w:pPr>
        <w:adjustRightInd w:val="0"/>
        <w:snapToGrid w:val="0"/>
        <w:spacing w:line="400" w:lineRule="exact"/>
        <w:ind w:firstLine="480" w:firstLineChars="200"/>
        <w:rPr>
          <w:rFonts w:ascii="仿宋_GB2312" w:eastAsia="仿宋_GB2312"/>
          <w:bCs/>
          <w:sz w:val="24"/>
          <w:u w:val="single"/>
        </w:rPr>
      </w:pPr>
      <w:r>
        <w:rPr>
          <w:rFonts w:hint="eastAsia" w:ascii="仿宋_GB2312" w:eastAsia="仿宋_GB2312"/>
          <w:bCs/>
          <w:sz w:val="24"/>
          <w:u w:val="single"/>
        </w:rPr>
        <w:t>（9）承包人严格</w:t>
      </w:r>
      <w:r>
        <w:rPr>
          <w:rFonts w:ascii="仿宋_GB2312" w:eastAsia="仿宋_GB2312"/>
          <w:bCs/>
          <w:sz w:val="24"/>
          <w:u w:val="single"/>
        </w:rPr>
        <w:t>按照学校规定</w:t>
      </w:r>
      <w:r>
        <w:rPr>
          <w:rFonts w:hint="eastAsia" w:ascii="仿宋_GB2312" w:eastAsia="仿宋_GB2312"/>
          <w:bCs/>
          <w:sz w:val="24"/>
          <w:u w:val="single"/>
        </w:rPr>
        <w:t>施工</w:t>
      </w:r>
      <w:r>
        <w:rPr>
          <w:rFonts w:ascii="仿宋_GB2312" w:eastAsia="仿宋_GB2312"/>
          <w:bCs/>
          <w:sz w:val="24"/>
          <w:u w:val="single"/>
        </w:rPr>
        <w:t>时间</w:t>
      </w:r>
      <w:r>
        <w:rPr>
          <w:rFonts w:hint="eastAsia" w:ascii="仿宋_GB2312" w:eastAsia="仿宋_GB2312"/>
          <w:bCs/>
          <w:sz w:val="24"/>
          <w:u w:val="single"/>
        </w:rPr>
        <w:t>进行作业，</w:t>
      </w:r>
      <w:r>
        <w:rPr>
          <w:rFonts w:ascii="仿宋_GB2312" w:eastAsia="仿宋_GB2312"/>
          <w:bCs/>
          <w:sz w:val="24"/>
          <w:u w:val="single"/>
        </w:rPr>
        <w:t>并</w:t>
      </w:r>
      <w:r>
        <w:rPr>
          <w:rFonts w:hint="eastAsia" w:ascii="仿宋_GB2312" w:eastAsia="仿宋_GB2312"/>
          <w:bCs/>
          <w:sz w:val="24"/>
          <w:u w:val="single"/>
        </w:rPr>
        <w:t>在</w:t>
      </w:r>
      <w:r>
        <w:rPr>
          <w:rFonts w:ascii="仿宋_GB2312" w:eastAsia="仿宋_GB2312"/>
          <w:bCs/>
          <w:sz w:val="24"/>
          <w:u w:val="single"/>
        </w:rPr>
        <w:t>施工现场及时</w:t>
      </w:r>
      <w:r>
        <w:rPr>
          <w:rFonts w:hint="eastAsia" w:ascii="仿宋_GB2312" w:eastAsia="仿宋_GB2312"/>
          <w:bCs/>
          <w:sz w:val="24"/>
          <w:u w:val="single"/>
        </w:rPr>
        <w:t>公示告知。施工时间必须满足学校要求，不能影响学生正常的学习和休息。工作日周一至周五上午</w:t>
      </w:r>
      <w:r>
        <w:rPr>
          <w:rFonts w:ascii="仿宋_GB2312" w:eastAsia="仿宋_GB2312"/>
          <w:bCs/>
          <w:sz w:val="24"/>
          <w:u w:val="single"/>
        </w:rPr>
        <w:t>7:30至12:00、下午14:00至19:00，节假日、双休日上午8:30至12:00、下午2:00-19:00。如遇施工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pPr>
        <w:adjustRightInd w:val="0"/>
        <w:snapToGrid w:val="0"/>
        <w:spacing w:line="400" w:lineRule="exact"/>
        <w:ind w:firstLine="480" w:firstLineChars="200"/>
        <w:rPr>
          <w:rFonts w:ascii="仿宋_GB2312" w:eastAsia="仿宋_GB2312"/>
          <w:bCs/>
          <w:sz w:val="24"/>
          <w:u w:val="single"/>
        </w:rPr>
      </w:pPr>
      <w:r>
        <w:rPr>
          <w:rFonts w:hint="eastAsia" w:ascii="仿宋_GB2312" w:eastAsia="仿宋_GB2312"/>
          <w:bCs/>
          <w:sz w:val="24"/>
          <w:u w:val="single"/>
        </w:rPr>
        <w:t>（</w:t>
      </w:r>
      <w:r>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bCs/>
          <w:color w:val="000000"/>
          <w:sz w:val="24"/>
        </w:rPr>
        <w:t>（11）根据国家标准和施工验收规范要求对材料、构配件和建筑物工程质量检测检验费由承包人承担，承包人在监理</w:t>
      </w:r>
      <w:r>
        <w:rPr>
          <w:rFonts w:hint="eastAsia" w:ascii="仿宋_GB2312" w:eastAsia="仿宋_GB2312"/>
          <w:color w:val="000000"/>
          <w:sz w:val="24"/>
        </w:rPr>
        <w:t>工程师的监督下按规定进行建筑材料、构配件等式样的制作、封样、送检和其它为保证工程质量进行的材料检验试验工作。所有材料检测由承包人送交以下单位检测：</w:t>
      </w:r>
      <w:r>
        <w:rPr>
          <w:rFonts w:hint="eastAsia" w:ascii="仿宋_GB2312" w:eastAsia="仿宋_GB2312"/>
          <w:color w:val="000000"/>
          <w:sz w:val="24"/>
          <w:u w:val="single"/>
        </w:rPr>
        <w:t>南京市建筑安装工程质量监督站检测中心或鼓楼区建筑安装工程质量检测中心</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2.3监理人</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本项目监理人名称</w:t>
      </w:r>
      <w:r>
        <w:rPr>
          <w:rFonts w:ascii="仿宋_GB2312" w:eastAsia="仿宋_GB2312"/>
          <w:color w:val="000000"/>
          <w:sz w:val="24"/>
        </w:rPr>
        <w:t>：</w:t>
      </w:r>
      <w:r>
        <w:rPr>
          <w:rFonts w:hint="eastAsia" w:ascii="仿宋_GB2312" w:eastAsia="仿宋_GB2312"/>
          <w:color w:val="000000"/>
          <w:sz w:val="24"/>
          <w:u w:val="single"/>
        </w:rPr>
        <w:t xml:space="preserve">                       </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2.3.1监理人的一般规定</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（1）关于监理人的监理内容：</w:t>
      </w:r>
      <w:r>
        <w:rPr>
          <w:rFonts w:hint="eastAsia" w:ascii="仿宋_GB2312" w:eastAsia="仿宋_GB2312"/>
          <w:color w:val="000000"/>
          <w:sz w:val="24"/>
          <w:u w:val="single"/>
        </w:rPr>
        <w:t>施工和保修阶段的四控制（质量、进度、投资、安全）、两管理（合同、信息）、一协调（协调施工现场各方面关系）</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u w:val="single"/>
        </w:rPr>
      </w:pPr>
      <w:r>
        <w:rPr>
          <w:rFonts w:hint="eastAsia" w:ascii="仿宋_GB2312" w:eastAsia="仿宋_GB2312"/>
          <w:color w:val="000000"/>
          <w:sz w:val="24"/>
        </w:rPr>
        <w:t>（2）关于监理人的监理权限：</w:t>
      </w:r>
      <w:r>
        <w:rPr>
          <w:rFonts w:hint="eastAsia" w:ascii="仿宋_GB2312" w:eastAsia="仿宋_GB2312"/>
          <w:color w:val="000000"/>
          <w:sz w:val="24"/>
          <w:u w:val="single"/>
        </w:rPr>
        <w:t>需要取得发包人批准才能行使的职权：所有涉及工程造价的签证、设计变更、开工报告、停工令、复工令、工程分包、工程延期。</w:t>
      </w:r>
    </w:p>
    <w:p>
      <w:pPr>
        <w:adjustRightInd w:val="0"/>
        <w:snapToGrid w:val="0"/>
        <w:spacing w:line="400" w:lineRule="exact"/>
        <w:ind w:firstLine="480" w:firstLineChars="200"/>
        <w:rPr>
          <w:rFonts w:ascii="仿宋_GB2312" w:eastAsia="仿宋_GB2312"/>
          <w:sz w:val="24"/>
        </w:rPr>
      </w:pPr>
      <w:r>
        <w:rPr>
          <w:rFonts w:hint="eastAsia" w:ascii="仿宋_GB2312" w:eastAsia="仿宋_GB2312"/>
          <w:color w:val="000000"/>
          <w:sz w:val="24"/>
        </w:rPr>
        <w:t>2.3.2监理人员</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（1）总监理工程师姓名：</w:t>
      </w:r>
      <w:r>
        <w:rPr>
          <w:rFonts w:hint="eastAsia" w:ascii="仿宋_GB2312" w:eastAsia="仿宋_GB2312"/>
          <w:sz w:val="24"/>
          <w:u w:val="single"/>
        </w:rPr>
        <w:t xml:space="preserve">           </w:t>
      </w:r>
      <w:r>
        <w:rPr>
          <w:rFonts w:hint="eastAsia" w:ascii="仿宋_GB2312" w:eastAsia="仿宋_GB2312"/>
          <w:sz w:val="24"/>
        </w:rPr>
        <w:t>，联系电话：</w:t>
      </w:r>
      <w:r>
        <w:rPr>
          <w:rFonts w:hint="eastAsia" w:ascii="仿宋_GB2312" w:eastAsia="仿宋_GB2312"/>
          <w:sz w:val="24"/>
          <w:u w:val="single"/>
        </w:rPr>
        <w:t xml:space="preserve">              </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（2）关于监理人的其他约定：</w:t>
      </w:r>
      <w:r>
        <w:rPr>
          <w:rFonts w:hint="eastAsia" w:ascii="仿宋_GB2312" w:eastAsia="仿宋_GB2312"/>
          <w:sz w:val="24"/>
          <w:u w:val="single"/>
        </w:rPr>
        <w:t>监理工程师下达给承包人或其项目经理的任何涉及工程造价的指示，必须得到发包人的书面认可，该指示于发包人批准之日起有效</w:t>
      </w:r>
      <w:r>
        <w:rPr>
          <w:rFonts w:hint="eastAsia" w:ascii="仿宋_GB2312" w:eastAsia="仿宋_GB2312"/>
          <w:sz w:val="24"/>
        </w:rPr>
        <w:t>。</w:t>
      </w:r>
    </w:p>
    <w:p>
      <w:pPr>
        <w:adjustRightInd w:val="0"/>
        <w:snapToGrid w:val="0"/>
        <w:spacing w:line="400" w:lineRule="exact"/>
        <w:ind w:firstLine="482" w:firstLineChars="200"/>
        <w:rPr>
          <w:rFonts w:ascii="仿宋_GB2312" w:eastAsia="仿宋_GB2312"/>
          <w:b/>
          <w:bCs/>
          <w:sz w:val="24"/>
        </w:rPr>
      </w:pPr>
      <w:r>
        <w:rPr>
          <w:rFonts w:hint="eastAsia" w:ascii="仿宋_GB2312" w:eastAsia="仿宋_GB2312"/>
          <w:b/>
          <w:bCs/>
          <w:sz w:val="24"/>
        </w:rPr>
        <w:t>三、工程质量</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3.1特殊质量标准和要求：</w:t>
      </w:r>
      <w:r>
        <w:rPr>
          <w:rFonts w:hint="eastAsia" w:ascii="仿宋_GB2312" w:eastAsia="仿宋_GB2312"/>
          <w:sz w:val="24"/>
          <w:u w:val="single"/>
        </w:rPr>
        <w:t>工程质量必须达到《建筑工程施工质量验收统一标准》GB50300-2013规定的合格标准。本工程不评优，但承包人承诺优质工程质量标准而没有达到的，结算时按分部分项工程费1%处罚，达到优质工程不奖励</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3.2承包人提前通知监理人隐蔽工程检查的期限约定：</w:t>
      </w:r>
      <w:r>
        <w:rPr>
          <w:rFonts w:hint="eastAsia" w:ascii="仿宋_GB2312" w:eastAsia="仿宋_GB2312"/>
          <w:sz w:val="24"/>
          <w:u w:val="single"/>
        </w:rPr>
        <w:t>共同检查前48小时</w:t>
      </w:r>
      <w:r>
        <w:rPr>
          <w:rFonts w:hint="eastAsia" w:ascii="仿宋_GB2312" w:eastAsia="仿宋_GB2312"/>
          <w:sz w:val="24"/>
        </w:rPr>
        <w:t>。</w:t>
      </w:r>
    </w:p>
    <w:p>
      <w:pPr>
        <w:adjustRightInd w:val="0"/>
        <w:snapToGrid w:val="0"/>
        <w:spacing w:line="400" w:lineRule="exact"/>
        <w:ind w:firstLine="482" w:firstLineChars="200"/>
        <w:rPr>
          <w:rFonts w:ascii="仿宋_GB2312" w:eastAsia="仿宋_GB2312"/>
          <w:sz w:val="24"/>
        </w:rPr>
      </w:pPr>
      <w:r>
        <w:rPr>
          <w:rFonts w:hint="eastAsia" w:ascii="仿宋_GB2312" w:eastAsia="仿宋_GB2312"/>
          <w:b/>
          <w:bCs/>
          <w:sz w:val="24"/>
        </w:rPr>
        <w:t>四、工期和进度</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4.1进度计划</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4.1.1承包人提交施工组织设计(施工方案)和施工进度计划的期限：</w:t>
      </w:r>
      <w:r>
        <w:rPr>
          <w:rFonts w:hint="eastAsia" w:ascii="仿宋_GB2312" w:eastAsia="仿宋_GB2312"/>
          <w:color w:val="000000"/>
          <w:sz w:val="24"/>
          <w:u w:val="single"/>
        </w:rPr>
        <w:t>开工前3天</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4.1.2发包人和监理人收到施工组织设计和施工进度计划后确认或提出修改意见的期限：</w:t>
      </w:r>
      <w:r>
        <w:rPr>
          <w:rFonts w:hint="eastAsia" w:ascii="仿宋_GB2312" w:eastAsia="仿宋_GB2312"/>
          <w:color w:val="000000"/>
          <w:sz w:val="24"/>
          <w:u w:val="single"/>
        </w:rPr>
        <w:t>收到后5日内</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4.2工期延误</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4.2.1因不可抗力的原因导致工期延误：</w:t>
      </w:r>
      <w:r>
        <w:rPr>
          <w:rFonts w:hint="eastAsia" w:ascii="仿宋_GB2312" w:eastAsia="仿宋_GB2312"/>
          <w:color w:val="000000"/>
          <w:sz w:val="24"/>
          <w:u w:val="single"/>
        </w:rPr>
        <w:t>经工程师确认，工期相应顺延</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4.2.2因发包人原因导致工期延误：</w:t>
      </w:r>
      <w:r>
        <w:rPr>
          <w:rFonts w:hint="eastAsia" w:ascii="仿宋_GB2312" w:eastAsia="仿宋_GB2312"/>
          <w:color w:val="000000"/>
          <w:sz w:val="24"/>
          <w:u w:val="single"/>
        </w:rPr>
        <w:t>发包方在合同签订后达不到开工条件的，如果承包方工人已进场，因发包方原因不能开工或中途因发包方原因造成停工的，工期顺延</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4.2.3因工程量变化和设计变更导致工期延误：</w:t>
      </w:r>
      <w:r>
        <w:rPr>
          <w:rFonts w:hint="eastAsia" w:ascii="仿宋_GB2312" w:eastAsia="仿宋_GB2312"/>
          <w:color w:val="000000"/>
          <w:sz w:val="24"/>
          <w:u w:val="single"/>
        </w:rPr>
        <w:t>经双方协商认可，工期可以顺延，质量要求不变</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4.2.4非上述原因，承包人不能按合同约定的时间竣工，承包人承担违约责任。应向发包人支付延期赔偿（每天赔偿金额为合同价款的</w:t>
      </w:r>
      <w:r>
        <w:rPr>
          <w:rFonts w:hint="eastAsia" w:ascii="仿宋_GB2312" w:eastAsia="仿宋_GB2312"/>
          <w:color w:val="000000"/>
          <w:sz w:val="24"/>
          <w:u w:val="single"/>
        </w:rPr>
        <w:t>万分之五</w:t>
      </w:r>
      <w:r>
        <w:rPr>
          <w:rFonts w:hint="eastAsia" w:ascii="仿宋_GB2312" w:eastAsia="仿宋_GB2312"/>
          <w:color w:val="000000"/>
          <w:sz w:val="24"/>
        </w:rPr>
        <w:t>），误期时间从规定竣工日期起直到全部工程或相应部分工程竣工验收各方签章日期之间的天数（扣除发包人批准的顺延工期），其极限为合同价的</w:t>
      </w:r>
      <w:r>
        <w:rPr>
          <w:rFonts w:hint="eastAsia" w:ascii="仿宋_GB2312" w:eastAsia="仿宋_GB2312"/>
          <w:color w:val="000000"/>
          <w:sz w:val="24"/>
          <w:u w:val="single"/>
        </w:rPr>
        <w:t>5%</w:t>
      </w:r>
      <w:r>
        <w:rPr>
          <w:rFonts w:hint="eastAsia" w:ascii="仿宋_GB2312" w:eastAsia="仿宋_GB2312"/>
          <w:color w:val="000000"/>
          <w:sz w:val="24"/>
        </w:rPr>
        <w:t>。因承包人延误工期期间的监理费用由承包人支付，标准为</w:t>
      </w:r>
      <w:r>
        <w:rPr>
          <w:rFonts w:hint="eastAsia" w:ascii="仿宋_GB2312" w:eastAsia="仿宋_GB2312"/>
          <w:color w:val="000000"/>
          <w:sz w:val="24"/>
          <w:u w:val="single"/>
        </w:rPr>
        <w:t>500元/天</w:t>
      </w:r>
      <w:r>
        <w:rPr>
          <w:rFonts w:hint="eastAsia" w:ascii="仿宋_GB2312" w:eastAsia="仿宋_GB2312"/>
          <w:color w:val="000000"/>
          <w:sz w:val="24"/>
        </w:rPr>
        <w:t>。发包人可从应向承包人支付任何金额中扣除此项赔偿费或以其它方式回收此款，此赔偿款的支付并不能解除承包人应完成工程的责任或合同规定的其他责任。</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4.2.5未经发包人代表与总监理工程师书面同意延迟开工，工期不予调整。</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4.2.6承包人必须按照合同工期或发包人同意顺延的工期竣工。</w:t>
      </w:r>
    </w:p>
    <w:p>
      <w:pPr>
        <w:adjustRightInd w:val="0"/>
        <w:snapToGrid w:val="0"/>
        <w:spacing w:line="400" w:lineRule="exact"/>
        <w:ind w:firstLine="482" w:firstLineChars="200"/>
        <w:rPr>
          <w:rFonts w:ascii="仿宋_GB2312" w:eastAsia="仿宋_GB2312"/>
          <w:b/>
          <w:color w:val="000000"/>
          <w:sz w:val="24"/>
        </w:rPr>
      </w:pPr>
      <w:r>
        <w:rPr>
          <w:rFonts w:hint="eastAsia" w:ascii="仿宋_GB2312" w:eastAsia="仿宋_GB2312"/>
          <w:b/>
          <w:color w:val="000000"/>
          <w:sz w:val="24"/>
        </w:rPr>
        <w:t>五、材料与设备</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5.1发包人供应的材料设备</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5.1.1材料设备单价与一览表不符：</w:t>
      </w:r>
      <w:r>
        <w:rPr>
          <w:rFonts w:hint="eastAsia" w:ascii="仿宋_GB2312" w:eastAsia="仿宋_GB2312"/>
          <w:color w:val="000000"/>
          <w:sz w:val="24"/>
          <w:u w:val="single"/>
        </w:rPr>
        <w:t>材料、设备单价以零计入报价，不调整</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5.1.2材料设备的品种、规格、型号、质量等级与一览表不符：</w:t>
      </w:r>
      <w:r>
        <w:rPr>
          <w:rFonts w:hint="eastAsia" w:ascii="仿宋_GB2312" w:eastAsia="仿宋_GB2312"/>
          <w:color w:val="000000"/>
          <w:sz w:val="24"/>
          <w:u w:val="single"/>
        </w:rPr>
        <w:t>以发包人实际供应的材料设备的品种、规格、型号、质量为准</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5.1.3承包人可代为调剂串换的材料：</w:t>
      </w:r>
      <w:r>
        <w:rPr>
          <w:rFonts w:hint="eastAsia" w:ascii="仿宋_GB2312" w:eastAsia="仿宋_GB2312"/>
          <w:color w:val="000000"/>
          <w:sz w:val="24"/>
          <w:u w:val="single"/>
        </w:rPr>
        <w:t>须经发包人确认后进行</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5.1.4供应数量与一览表不符：</w:t>
      </w:r>
      <w:r>
        <w:rPr>
          <w:rFonts w:hint="eastAsia" w:ascii="仿宋_GB2312" w:eastAsia="仿宋_GB2312"/>
          <w:color w:val="000000"/>
          <w:sz w:val="24"/>
          <w:u w:val="single"/>
        </w:rPr>
        <w:t>甲供材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5.1.5列入发包人甲供或甲控的材料，承包人不得自行采购，须根据现场施工需要，提前一个星期报发包人审批，确定甲供材还是甲控材，甲控材为发包人核定品牌型号及价格的材料，如不按要求申报造成的损失由承包人承担，延误的工期不顺延。</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5.1.6发包人供应的材料设备的二次搬运费、保管费用由承包人承担。</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5.2承包人采购材料与工程设备</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5.2.1材料必须是优质产品，必须符合有关规范、设计图纸、采购文件规定的质量要求。</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5.2.2所有材料运输上下力费、保管费由承包人承担。</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甲控材考虑。</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5.2.4如发包方需要，可指定材料品牌并商定价格，由承包方负责采购。发包方保留部分材料可能会甲供的权利，承包方不得有异议。</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pPr>
        <w:adjustRightInd w:val="0"/>
        <w:snapToGrid w:val="0"/>
        <w:spacing w:line="400" w:lineRule="exact"/>
        <w:ind w:firstLine="482" w:firstLineChars="200"/>
        <w:rPr>
          <w:rFonts w:ascii="仿宋_GB2312" w:eastAsia="仿宋_GB2312"/>
          <w:b/>
          <w:bCs/>
          <w:color w:val="000000"/>
          <w:sz w:val="24"/>
        </w:rPr>
      </w:pPr>
      <w:r>
        <w:rPr>
          <w:rFonts w:hint="eastAsia" w:ascii="仿宋_GB2312" w:eastAsia="仿宋_GB2312"/>
          <w:b/>
          <w:bCs/>
          <w:color w:val="000000"/>
          <w:sz w:val="24"/>
        </w:rPr>
        <w:t>六、工程变更</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pPr>
        <w:adjustRightInd w:val="0"/>
        <w:snapToGrid w:val="0"/>
        <w:spacing w:line="400" w:lineRule="exact"/>
        <w:ind w:firstLine="480" w:firstLineChars="200"/>
        <w:rPr>
          <w:rFonts w:ascii="仿宋_GB2312" w:eastAsia="仿宋_GB2312"/>
          <w:color w:val="000000"/>
          <w:sz w:val="24"/>
          <w:u w:val="single"/>
        </w:rPr>
      </w:pPr>
      <w:r>
        <w:rPr>
          <w:rFonts w:hint="eastAsia" w:ascii="仿宋_GB2312" w:eastAsia="仿宋_GB2312"/>
          <w:color w:val="000000"/>
          <w:sz w:val="24"/>
        </w:rPr>
        <w:t>6.2现场签证须有监理工程师和发包人项目负责人签字，全过程造价控制人员签字。</w:t>
      </w:r>
    </w:p>
    <w:p>
      <w:pPr>
        <w:adjustRightInd w:val="0"/>
        <w:snapToGrid w:val="0"/>
        <w:spacing w:line="400" w:lineRule="exact"/>
        <w:ind w:firstLine="482" w:firstLineChars="200"/>
        <w:rPr>
          <w:rFonts w:ascii="仿宋_GB2312" w:eastAsia="仿宋_GB2312"/>
          <w:b/>
          <w:color w:val="000000"/>
          <w:sz w:val="24"/>
        </w:rPr>
      </w:pPr>
      <w:r>
        <w:rPr>
          <w:rFonts w:hint="eastAsia" w:ascii="仿宋_GB2312" w:eastAsia="仿宋_GB2312"/>
          <w:b/>
          <w:color w:val="000000"/>
          <w:sz w:val="24"/>
        </w:rPr>
        <w:t>七、合同价格、计量与支付</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7.1合同价格形式</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7.1.1采用</w:t>
      </w:r>
      <w:r>
        <w:rPr>
          <w:rFonts w:hint="eastAsia" w:ascii="仿宋_GB2312" w:eastAsia="仿宋_GB2312"/>
          <w:color w:val="000000"/>
          <w:sz w:val="24"/>
          <w:u w:val="single"/>
        </w:rPr>
        <w:t>固定单价</w:t>
      </w:r>
      <w:r>
        <w:rPr>
          <w:rFonts w:hint="eastAsia" w:ascii="仿宋_GB2312" w:eastAsia="仿宋_GB2312"/>
          <w:color w:val="000000"/>
          <w:sz w:val="24"/>
        </w:rPr>
        <w:t>合同，合同价款中包括的风险范围：施工期间工程造价方面的政策性调整，以及各类建材的市场风险包括人工、机械单价、建材单价和优惠费率及采购文件约定的部分。</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7.1.2风险费用的计算方法：</w:t>
      </w:r>
      <w:r>
        <w:rPr>
          <w:rFonts w:hint="eastAsia" w:ascii="仿宋_GB2312" w:eastAsia="仿宋_GB2312"/>
          <w:color w:val="000000"/>
          <w:sz w:val="24"/>
          <w:u w:val="single"/>
        </w:rPr>
        <w:t>承包人报价时充分考虑风险范围并计算风险费用，结算时不予调整</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7.1.3风险范围以外合同价款调整方法：</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（3）若调整的工程量清单子目属于新增清单子目，但采购文件中有适用的类似的清单子目可参照时，则按响应文件中的类似清单子目的人材机消耗量、单价、费用种类、费率标准计价；</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4）若调整的工程量清单子目属于新增清单子目，且响应文件中没有可适用的类似清单子目时，采用采购时所参照的定额或其他计价依据资料计算其人材机消耗量，按响应文件中该清单子目所属分部分项工程的单价、费用种类、加权平均费率标准计价；</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5）对于响应文件中没有的新增材料单价，其中次要（辅助）材料（含地材）可参照施工期间南京市造价管理部门发布的材料指导价格计算，主要材料或无指导价格的材料由发包人核价后方可采购（发包人保留选择甲供的权利）；</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6）施工过程中清单子目工程量发生变化时，措施费项目不增加、其费率不调整。如有新增项目由成交人施工，成交人不得以任何理由拒绝，合同总工期不得增加，并按本条款中“调整的工程量清单子目”计价方式计价；</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（7）如工程有总价优惠，则调整部分的工程造价也须参照该总价优惠比率进行优惠。</w:t>
      </w:r>
    </w:p>
    <w:p>
      <w:pPr>
        <w:adjustRightInd w:val="0"/>
        <w:snapToGrid w:val="0"/>
        <w:spacing w:line="400" w:lineRule="exact"/>
        <w:ind w:firstLine="482" w:firstLineChars="200"/>
        <w:rPr>
          <w:rFonts w:ascii="仿宋_GB2312" w:eastAsia="仿宋_GB2312"/>
          <w:b/>
          <w:sz w:val="24"/>
        </w:rPr>
      </w:pPr>
      <w:r>
        <w:rPr>
          <w:rFonts w:hint="eastAsia" w:ascii="仿宋_GB2312" w:eastAsia="仿宋_GB2312"/>
          <w:b/>
          <w:sz w:val="24"/>
        </w:rPr>
        <w:t>7.2工程进度款支付</w:t>
      </w:r>
    </w:p>
    <w:p>
      <w:pPr>
        <w:adjustRightInd w:val="0"/>
        <w:snapToGrid w:val="0"/>
        <w:spacing w:line="400" w:lineRule="exact"/>
        <w:ind w:firstLine="482" w:firstLineChars="200"/>
        <w:rPr>
          <w:rFonts w:ascii="仿宋_GB2312" w:eastAsia="仿宋_GB2312"/>
          <w:b/>
          <w:sz w:val="24"/>
        </w:rPr>
      </w:pPr>
      <w:r>
        <w:rPr>
          <w:rFonts w:hint="eastAsia" w:ascii="仿宋_GB2312" w:eastAsia="仿宋_GB2312"/>
          <w:b/>
          <w:sz w:val="24"/>
        </w:rPr>
        <w:t>7.2.1工程合同签订、承包人人员、机械进场后发包人支付预付款比例：</w:t>
      </w:r>
      <w:r>
        <w:rPr>
          <w:rFonts w:hint="eastAsia" w:ascii="仿宋_GB2312" w:eastAsia="仿宋_GB2312"/>
          <w:b/>
          <w:sz w:val="24"/>
          <w:u w:val="single"/>
        </w:rPr>
        <w:t xml:space="preserve"> </w:t>
      </w:r>
      <w:r>
        <w:rPr>
          <w:rFonts w:ascii="仿宋_GB2312" w:eastAsia="仿宋_GB2312"/>
          <w:b/>
          <w:sz w:val="24"/>
          <w:u w:val="single"/>
        </w:rPr>
        <w:t>/</w:t>
      </w:r>
      <w:r>
        <w:rPr>
          <w:rFonts w:hint="eastAsia" w:ascii="仿宋_GB2312" w:eastAsia="仿宋_GB2312"/>
          <w:b/>
          <w:sz w:val="24"/>
          <w:u w:val="single"/>
        </w:rPr>
        <w:t xml:space="preserve"> </w:t>
      </w:r>
      <w:r>
        <w:rPr>
          <w:rFonts w:hint="eastAsia" w:ascii="仿宋_GB2312" w:eastAsia="仿宋_GB2312"/>
          <w:b/>
          <w:sz w:val="24"/>
        </w:rPr>
        <w:t>（扣除招标清单中暂列金额、暂估价及甲供材价款），金额：</w:t>
      </w:r>
      <w:r>
        <w:rPr>
          <w:rFonts w:hint="eastAsia" w:ascii="仿宋_GB2312" w:eastAsia="仿宋_GB2312"/>
          <w:b/>
          <w:sz w:val="24"/>
          <w:u w:val="single"/>
        </w:rPr>
        <w:t xml:space="preserve">  </w:t>
      </w:r>
      <w:r>
        <w:rPr>
          <w:rFonts w:ascii="仿宋_GB2312" w:eastAsia="仿宋_GB2312"/>
          <w:b/>
          <w:sz w:val="24"/>
          <w:u w:val="single"/>
        </w:rPr>
        <w:t>/</w:t>
      </w:r>
      <w:r>
        <w:rPr>
          <w:rFonts w:hint="eastAsia" w:ascii="仿宋_GB2312" w:eastAsia="仿宋_GB2312"/>
          <w:b/>
          <w:sz w:val="24"/>
          <w:u w:val="single"/>
        </w:rPr>
        <w:t xml:space="preserve">  </w:t>
      </w:r>
      <w:r>
        <w:rPr>
          <w:rFonts w:hint="eastAsia" w:ascii="仿宋_GB2312" w:eastAsia="仿宋_GB2312"/>
          <w:b/>
          <w:sz w:val="24"/>
        </w:rPr>
        <w:t>元。</w:t>
      </w:r>
    </w:p>
    <w:p>
      <w:pPr>
        <w:adjustRightInd w:val="0"/>
        <w:snapToGrid w:val="0"/>
        <w:spacing w:line="400" w:lineRule="exact"/>
        <w:ind w:firstLine="482" w:firstLineChars="200"/>
        <w:rPr>
          <w:rFonts w:ascii="仿宋_GB2312" w:eastAsia="仿宋_GB2312"/>
          <w:b/>
          <w:sz w:val="24"/>
        </w:rPr>
      </w:pPr>
      <w:r>
        <w:rPr>
          <w:rFonts w:hint="eastAsia" w:ascii="仿宋_GB2312" w:eastAsia="仿宋_GB2312"/>
          <w:b/>
          <w:sz w:val="24"/>
        </w:rPr>
        <w:t>7.2.2合同内工程量全部完成，并且达到竣工验收标准，工程竣工结算经审计，承包人将审定结算价款的</w:t>
      </w:r>
      <w:r>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Pr>
          <w:rFonts w:hint="eastAsia" w:ascii="仿宋_GB2312" w:eastAsia="仿宋_GB2312"/>
          <w:b/>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sz w:val="24"/>
        </w:rPr>
        <w:t>7.2.3发包人代扣代交费用在进度款中扣除，发包人的付款中已含全额人工费，承包人必须按劳动和社会保障部、建设部联合下发《建设领域农</w:t>
      </w:r>
      <w:r>
        <w:rPr>
          <w:rFonts w:hint="eastAsia" w:ascii="仿宋_GB2312" w:eastAsia="仿宋_GB2312"/>
          <w:color w:val="000000"/>
          <w:sz w:val="24"/>
        </w:rPr>
        <w:t>民工工资支付管理办法》的规定发放工资，直接将工资发给农民工本人，否则，发包人将对承包人进行罚款或延迟支付工程款。</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7.2.4如该项目为跨年度工程或遇付款时间为学校财务封帐期等特殊情况，无法支付工程款时，付款时间由发、承包双方另行商定，发包方对此不承担违约责任。</w:t>
      </w:r>
    </w:p>
    <w:p>
      <w:pPr>
        <w:adjustRightInd w:val="0"/>
        <w:snapToGrid w:val="0"/>
        <w:spacing w:line="400" w:lineRule="exact"/>
        <w:ind w:firstLine="482" w:firstLineChars="200"/>
        <w:rPr>
          <w:rFonts w:ascii="仿宋_GB2312" w:eastAsia="仿宋_GB2312"/>
          <w:b/>
          <w:color w:val="000000"/>
          <w:sz w:val="24"/>
        </w:rPr>
      </w:pPr>
      <w:r>
        <w:rPr>
          <w:rFonts w:hint="eastAsia" w:ascii="仿宋_GB2312" w:eastAsia="仿宋_GB2312"/>
          <w:b/>
          <w:color w:val="000000"/>
          <w:sz w:val="24"/>
        </w:rPr>
        <w:t>八、竣工验收、结算</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8.1竣工验收程序的约定：</w:t>
      </w:r>
      <w:r>
        <w:rPr>
          <w:rFonts w:hint="eastAsia" w:ascii="仿宋_GB2312" w:eastAsia="仿宋_GB2312"/>
          <w:color w:val="000000"/>
          <w:sz w:val="24"/>
          <w:u w:val="single"/>
        </w:rPr>
        <w:t>按通用条款有关规定执行</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8.2承包人完成竣工退场的期限及要求：</w:t>
      </w:r>
      <w:r>
        <w:rPr>
          <w:rFonts w:hint="eastAsia" w:ascii="仿宋_GB2312" w:eastAsia="仿宋_GB2312"/>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8.3承包人提交竣工结算申请单的期限：</w:t>
      </w:r>
      <w:r>
        <w:rPr>
          <w:rFonts w:hint="eastAsia" w:ascii="仿宋_GB2312" w:eastAsia="仿宋_GB2312"/>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hint="eastAsia" w:ascii="仿宋_GB2312" w:eastAsia="仿宋_GB2312"/>
          <w:color w:val="000000"/>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color w:val="000000"/>
          <w:sz w:val="24"/>
        </w:rPr>
        <w:t>8.4发包方委托的审计</w:t>
      </w:r>
      <w:r>
        <w:rPr>
          <w:rFonts w:ascii="仿宋_GB2312" w:eastAsia="仿宋_GB2312"/>
          <w:color w:val="000000"/>
          <w:sz w:val="24"/>
        </w:rPr>
        <w:t>单位</w:t>
      </w:r>
      <w:r>
        <w:rPr>
          <w:rFonts w:hint="eastAsia" w:ascii="仿宋_GB2312" w:eastAsia="仿宋_GB2312"/>
          <w:color w:val="000000"/>
          <w:sz w:val="24"/>
        </w:rPr>
        <w:t>在接到承包方提交的完整的结算资料后30日内完成审核工作、提出初审意见；承包方在接到通知后7个工作日内没有来核对，或核对工作超过15个</w:t>
      </w:r>
      <w:r>
        <w:rPr>
          <w:rFonts w:hint="eastAsia" w:ascii="仿宋_GB2312" w:eastAsia="仿宋_GB2312"/>
          <w:sz w:val="24"/>
        </w:rPr>
        <w:t>工作日的，则不安排本年度的审计，延至下一年度重新安排审计工作。</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8.5工程派驻全过程造价控制项目组的，全过程造价控制项目组按照《南京大学建设工程管理审计实施办法》南字发[2017]74号文件的规定履行职责，承包人必须积极配合，服从发包人规定；工程签证按《南京大学建设工程管理审计实施办法》南字发[2017]74号文及《南京大学建设工程变更管理办法》南字发[2017]64号文办理，未经全过程造价控制人员审核的工程造价不得作为付款依据。</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8.6若工程竣工结算审减额超过送审额的5%</w:t>
      </w:r>
      <w:r>
        <w:rPr>
          <w:rFonts w:hint="eastAsia" w:ascii="仿宋_GB2312" w:eastAsia="仿宋_GB2312"/>
          <w:color w:val="000000"/>
          <w:sz w:val="24"/>
        </w:rPr>
        <w:t>（含5%），则全部审计费由承包人支付。工程竣工结算前，承包人需提交水电费结算证明及总包配合费结清证明后方可进行结算。付款时，承包人必须设立以法人单位为开户名称的帐户作为本项工程专用帐户，保证专款专</w:t>
      </w:r>
      <w:r>
        <w:rPr>
          <w:rFonts w:hint="eastAsia" w:ascii="仿宋_GB2312" w:eastAsia="仿宋_GB2312"/>
          <w:sz w:val="24"/>
        </w:rPr>
        <w:t>用，否则发包人将不予付款。所有分包单位申请工程款时均需由总包单位签字认可后发包人才能支付工程款。</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8.7承包人不得拖欠乙供材料供应商及工程分包商费用，否则，发包人有权直接支付并在工程结算时扣除，同时追究承包人违约经济责任（5000元/次）及相关法律责任。</w:t>
      </w:r>
    </w:p>
    <w:p>
      <w:pPr>
        <w:adjustRightInd w:val="0"/>
        <w:snapToGrid w:val="0"/>
        <w:spacing w:line="400" w:lineRule="exact"/>
        <w:ind w:firstLine="482" w:firstLineChars="200"/>
        <w:rPr>
          <w:rFonts w:ascii="仿宋_GB2312" w:eastAsia="仿宋_GB2312"/>
          <w:b/>
          <w:sz w:val="24"/>
        </w:rPr>
      </w:pPr>
      <w:r>
        <w:rPr>
          <w:rFonts w:hint="eastAsia" w:ascii="仿宋_GB2312" w:eastAsia="仿宋_GB2312"/>
          <w:b/>
          <w:sz w:val="24"/>
        </w:rPr>
        <w:t>九、保修</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9.1工程保修范围、期限及要求：</w:t>
      </w:r>
      <w:r>
        <w:rPr>
          <w:rFonts w:hint="eastAsia" w:ascii="仿宋_GB2312" w:eastAsia="仿宋_GB2312"/>
          <w:sz w:val="24"/>
          <w:u w:val="single"/>
        </w:rPr>
        <w:t>按《建设工程质量管理条例》（国务院令第279号）及《房屋建筑工程质量保修办法》（建设部令第80号）规定执行</w:t>
      </w:r>
      <w:r>
        <w:rPr>
          <w:rFonts w:hint="eastAsia" w:ascii="仿宋_GB2312" w:eastAsia="仿宋_GB2312"/>
          <w:sz w:val="24"/>
        </w:rPr>
        <w:t>。</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本工程保修期为：</w:t>
      </w:r>
      <w:r>
        <w:rPr>
          <w:rFonts w:hint="eastAsia" w:ascii="仿宋_GB2312" w:eastAsia="仿宋_GB2312"/>
          <w:sz w:val="24"/>
          <w:u w:val="single"/>
        </w:rPr>
        <w:t xml:space="preserve"> </w:t>
      </w:r>
      <w:r>
        <w:rPr>
          <w:rFonts w:ascii="仿宋_GB2312" w:eastAsia="仿宋_GB2312"/>
          <w:sz w:val="24"/>
          <w:u w:val="single"/>
        </w:rPr>
        <w:t>2</w:t>
      </w:r>
      <w:r>
        <w:rPr>
          <w:rFonts w:hint="eastAsia" w:ascii="仿宋_GB2312" w:eastAsia="仿宋_GB2312"/>
          <w:sz w:val="24"/>
          <w:u w:val="single"/>
        </w:rPr>
        <w:t xml:space="preserve"> </w:t>
      </w:r>
      <w:r>
        <w:rPr>
          <w:rFonts w:hint="eastAsia" w:ascii="仿宋_GB2312" w:eastAsia="仿宋_GB2312"/>
          <w:sz w:val="24"/>
        </w:rPr>
        <w:t>年（不低于以上规定的期限），从工程竣工验收合格之日起计算。</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9.2承包人收到保修通知并到达工程现场的合理时间：</w:t>
      </w:r>
      <w:r>
        <w:rPr>
          <w:rFonts w:hint="eastAsia" w:ascii="仿宋_GB2312" w:eastAsia="仿宋_GB2312"/>
          <w:sz w:val="24"/>
          <w:u w:val="single"/>
        </w:rPr>
        <w:t>24小时内</w:t>
      </w:r>
      <w:r>
        <w:rPr>
          <w:rFonts w:hint="eastAsia" w:ascii="仿宋_GB2312" w:eastAsia="仿宋_GB2312"/>
          <w:sz w:val="24"/>
        </w:rPr>
        <w:t>。</w:t>
      </w:r>
    </w:p>
    <w:p>
      <w:pPr>
        <w:adjustRightInd w:val="0"/>
        <w:snapToGrid w:val="0"/>
        <w:spacing w:line="400" w:lineRule="exact"/>
        <w:ind w:firstLine="482" w:firstLineChars="200"/>
        <w:rPr>
          <w:rFonts w:ascii="仿宋_GB2312" w:eastAsia="仿宋_GB2312"/>
          <w:b/>
          <w:sz w:val="24"/>
        </w:rPr>
      </w:pPr>
      <w:r>
        <w:rPr>
          <w:rFonts w:hint="eastAsia" w:ascii="仿宋_GB2312" w:eastAsia="仿宋_GB2312"/>
          <w:b/>
          <w:sz w:val="24"/>
        </w:rPr>
        <w:t>十、违约责任</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10.1发包人违约的情形</w:t>
      </w:r>
    </w:p>
    <w:p>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10.1.1由于发包人原因对承包人符合合同约定条件的请款未支付的，发包人应承担银行同期贷款利息。</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sz w:val="24"/>
        </w:rPr>
        <w:t>10.1.2承包人按（发包人违约的情形）约定暂停施工满28天后发包人仍不纠正其违约行为并致使合同目的不能实现的，承包</w:t>
      </w:r>
      <w:r>
        <w:rPr>
          <w:rFonts w:hint="eastAsia" w:ascii="仿宋_GB2312" w:eastAsia="仿宋_GB2312"/>
          <w:color w:val="000000"/>
          <w:sz w:val="24"/>
        </w:rPr>
        <w:t>人有权解除合同。</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10.2承包人违约的情形</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10.2.1接到监理工程师开工令后7日内，承包人无正当理由推迟开工的，需向发包人支付1000元/天的违约金。</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10.2.3承包人违反合同约定采购和使用不合格的材料和工程设备，承包人需承担5000元/次的违约金。</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10.2.4承包人必须采取合理有效的措施，严格控制质量通病的发生，交验前细致检查并返修，交验后仍发现质量通病的，除立即返修外，还应按以下标准向发包人支付赔偿费用：卫生间渗漏</w:t>
      </w:r>
      <w:r>
        <w:rPr>
          <w:rFonts w:hint="eastAsia" w:ascii="仿宋_GB2312" w:eastAsia="仿宋_GB2312"/>
          <w:color w:val="000000"/>
          <w:sz w:val="24"/>
          <w:u w:val="single"/>
        </w:rPr>
        <w:t>2000</w:t>
      </w:r>
      <w:r>
        <w:rPr>
          <w:rFonts w:hint="eastAsia" w:ascii="仿宋_GB2312" w:eastAsia="仿宋_GB2312"/>
          <w:color w:val="000000"/>
          <w:sz w:val="24"/>
        </w:rPr>
        <w:t>元/处，外墙渗水</w:t>
      </w:r>
      <w:r>
        <w:rPr>
          <w:rFonts w:hint="eastAsia" w:ascii="仿宋_GB2312" w:eastAsia="仿宋_GB2312"/>
          <w:color w:val="000000"/>
          <w:sz w:val="24"/>
          <w:u w:val="single"/>
        </w:rPr>
        <w:t>2000</w:t>
      </w:r>
      <w:r>
        <w:rPr>
          <w:rFonts w:hint="eastAsia" w:ascii="仿宋_GB2312" w:eastAsia="仿宋_GB2312"/>
          <w:color w:val="000000"/>
          <w:sz w:val="24"/>
        </w:rPr>
        <w:t>元/处、屋面渗漏</w:t>
      </w:r>
      <w:r>
        <w:rPr>
          <w:rFonts w:hint="eastAsia" w:ascii="仿宋_GB2312" w:eastAsia="仿宋_GB2312"/>
          <w:color w:val="000000"/>
          <w:sz w:val="24"/>
          <w:u w:val="single"/>
        </w:rPr>
        <w:t>3000</w:t>
      </w:r>
      <w:r>
        <w:rPr>
          <w:rFonts w:hint="eastAsia" w:ascii="仿宋_GB2312" w:eastAsia="仿宋_GB2312"/>
          <w:color w:val="000000"/>
          <w:sz w:val="24"/>
        </w:rPr>
        <w:t>元/处、给水管渗漏</w:t>
      </w:r>
      <w:r>
        <w:rPr>
          <w:rFonts w:hint="eastAsia" w:ascii="仿宋_GB2312" w:eastAsia="仿宋_GB2312"/>
          <w:color w:val="000000"/>
          <w:sz w:val="24"/>
          <w:u w:val="single"/>
        </w:rPr>
        <w:t>3000</w:t>
      </w:r>
      <w:r>
        <w:rPr>
          <w:rFonts w:hint="eastAsia" w:ascii="仿宋_GB2312" w:eastAsia="仿宋_GB2312"/>
          <w:color w:val="000000"/>
          <w:sz w:val="24"/>
        </w:rPr>
        <w:t>元/处。</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10.2.5承包人违反合同约定进行转包或违法分包</w:t>
      </w:r>
      <w:r>
        <w:rPr>
          <w:rFonts w:ascii="仿宋_GB2312" w:eastAsia="仿宋_GB2312"/>
          <w:color w:val="000000"/>
          <w:sz w:val="24"/>
        </w:rPr>
        <w:t>以及未经</w:t>
      </w:r>
      <w:r>
        <w:rPr>
          <w:rFonts w:hint="eastAsia" w:ascii="仿宋_GB2312" w:eastAsia="仿宋_GB2312"/>
          <w:color w:val="000000"/>
          <w:sz w:val="24"/>
        </w:rPr>
        <w:t>发包人</w:t>
      </w:r>
      <w:r>
        <w:rPr>
          <w:rFonts w:ascii="仿宋_GB2312" w:eastAsia="仿宋_GB2312"/>
          <w:color w:val="000000"/>
          <w:sz w:val="24"/>
        </w:rPr>
        <w:t>同意的第三方进入现场施工，</w:t>
      </w:r>
      <w:r>
        <w:rPr>
          <w:rFonts w:hint="eastAsia" w:ascii="仿宋_GB2312" w:eastAsia="仿宋_GB2312"/>
          <w:color w:val="000000"/>
          <w:sz w:val="24"/>
        </w:rPr>
        <w:t>发包方</w:t>
      </w:r>
      <w:r>
        <w:rPr>
          <w:rFonts w:ascii="仿宋_GB2312" w:eastAsia="仿宋_GB2312"/>
          <w:color w:val="000000"/>
          <w:sz w:val="24"/>
        </w:rPr>
        <w:t>有权要求</w:t>
      </w:r>
      <w:r>
        <w:rPr>
          <w:rFonts w:hint="eastAsia" w:ascii="仿宋_GB2312" w:eastAsia="仿宋_GB2312"/>
          <w:color w:val="000000"/>
          <w:sz w:val="24"/>
        </w:rPr>
        <w:t>承包方</w:t>
      </w:r>
      <w:r>
        <w:rPr>
          <w:rFonts w:ascii="仿宋_GB2312" w:eastAsia="仿宋_GB2312"/>
          <w:color w:val="000000"/>
          <w:sz w:val="24"/>
        </w:rPr>
        <w:t>停工、</w:t>
      </w:r>
      <w:r>
        <w:rPr>
          <w:rFonts w:hint="eastAsia" w:ascii="仿宋_GB2312" w:eastAsia="仿宋_GB2312"/>
          <w:color w:val="000000"/>
          <w:sz w:val="24"/>
        </w:rPr>
        <w:t>退出</w:t>
      </w:r>
      <w:r>
        <w:rPr>
          <w:rFonts w:ascii="仿宋_GB2312" w:eastAsia="仿宋_GB2312"/>
          <w:color w:val="000000"/>
          <w:sz w:val="24"/>
        </w:rPr>
        <w:t>现场或</w:t>
      </w:r>
      <w:r>
        <w:rPr>
          <w:rFonts w:hint="eastAsia" w:ascii="仿宋_GB2312" w:eastAsia="仿宋_GB2312"/>
          <w:color w:val="000000"/>
          <w:sz w:val="24"/>
        </w:rPr>
        <w:t>解除</w:t>
      </w:r>
      <w:r>
        <w:rPr>
          <w:rFonts w:ascii="仿宋_GB2312" w:eastAsia="仿宋_GB2312"/>
          <w:color w:val="000000"/>
          <w:sz w:val="24"/>
        </w:rPr>
        <w:t>合同，由此造成的一切损失均由</w:t>
      </w:r>
      <w:r>
        <w:rPr>
          <w:rFonts w:hint="eastAsia" w:ascii="仿宋_GB2312" w:eastAsia="仿宋_GB2312"/>
          <w:color w:val="000000"/>
          <w:sz w:val="24"/>
        </w:rPr>
        <w:t>承包方</w:t>
      </w:r>
      <w:r>
        <w:rPr>
          <w:rFonts w:ascii="仿宋_GB2312" w:eastAsia="仿宋_GB2312"/>
          <w:color w:val="000000"/>
          <w:sz w:val="24"/>
        </w:rPr>
        <w:t>承担。</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10.2.7承包人明确表示或者以其行为表明不履行合同主要义务的，发包人有权解除合同。</w:t>
      </w:r>
    </w:p>
    <w:p>
      <w:pPr>
        <w:adjustRightInd w:val="0"/>
        <w:snapToGrid w:val="0"/>
        <w:spacing w:line="400" w:lineRule="exact"/>
        <w:ind w:firstLine="482" w:firstLineChars="200"/>
        <w:rPr>
          <w:rFonts w:ascii="仿宋_GB2312" w:eastAsia="仿宋_GB2312"/>
          <w:b/>
          <w:color w:val="000000"/>
          <w:sz w:val="24"/>
        </w:rPr>
      </w:pPr>
      <w:r>
        <w:rPr>
          <w:rFonts w:hint="eastAsia" w:ascii="仿宋_GB2312" w:eastAsia="仿宋_GB2312"/>
          <w:b/>
          <w:color w:val="000000"/>
          <w:sz w:val="24"/>
        </w:rPr>
        <w:t>十一、争议解决</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因履行本合同引起的或与本合同有关的争议，发、承包双方应当通过友好协商解决，如果协商不能解决争议的，则采取以下第</w:t>
      </w:r>
      <w:r>
        <w:rPr>
          <w:rFonts w:hint="eastAsia" w:ascii="仿宋_GB2312" w:eastAsia="仿宋_GB2312"/>
          <w:color w:val="000000"/>
          <w:sz w:val="24"/>
          <w:u w:val="single"/>
        </w:rPr>
        <w:t>（2）</w:t>
      </w:r>
      <w:r>
        <w:rPr>
          <w:rFonts w:hint="eastAsia" w:ascii="仿宋_GB2312" w:eastAsia="仿宋_GB2312"/>
          <w:color w:val="000000"/>
          <w:sz w:val="24"/>
        </w:rPr>
        <w:t>种方式解决争议：</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（1）向南京市有管辖权的地方人民法院提起诉讼；</w:t>
      </w:r>
    </w:p>
    <w:p>
      <w:pPr>
        <w:adjustRightInd w:val="0"/>
        <w:snapToGrid w:val="0"/>
        <w:spacing w:line="400" w:lineRule="exact"/>
        <w:ind w:firstLine="480" w:firstLineChars="200"/>
        <w:rPr>
          <w:rFonts w:ascii="仿宋_GB2312" w:eastAsia="仿宋_GB2312"/>
          <w:color w:val="000000"/>
          <w:sz w:val="24"/>
        </w:rPr>
      </w:pPr>
      <w:r>
        <w:rPr>
          <w:rFonts w:hint="eastAsia" w:ascii="仿宋_GB2312" w:eastAsia="仿宋_GB2312"/>
          <w:color w:val="000000"/>
          <w:sz w:val="24"/>
        </w:rPr>
        <w:t>（2）向南京仲裁委员会按其仲裁规则申请仲裁。</w:t>
      </w:r>
    </w:p>
    <w:p>
      <w:pPr>
        <w:rPr>
          <w:rFonts w:ascii="宋体" w:hAnsi="宋体" w:eastAsia="宋体"/>
          <w:b/>
          <w:kern w:val="44"/>
          <w:sz w:val="44"/>
        </w:rPr>
      </w:pPr>
    </w:p>
    <w:bookmarkEnd w:id="49"/>
    <w:p>
      <w:pPr>
        <w:rPr>
          <w:rFonts w:ascii="宋体" w:hAnsi="宋体" w:eastAsia="宋体"/>
          <w:b/>
          <w:snapToGrid w:val="0"/>
          <w:sz w:val="32"/>
        </w:rPr>
      </w:pPr>
      <w:bookmarkStart w:id="58" w:name="_Toc111371835"/>
      <w:bookmarkStart w:id="59" w:name="_Toc329097752"/>
      <w:r>
        <w:rPr>
          <w:rFonts w:ascii="宋体" w:hAnsi="宋体" w:eastAsia="宋体"/>
          <w:snapToGrid w:val="0"/>
        </w:rPr>
        <w:br w:type="page"/>
      </w:r>
    </w:p>
    <w:p>
      <w:pPr>
        <w:pStyle w:val="38"/>
        <w:rPr>
          <w:rFonts w:ascii="宋体" w:hAnsi="宋体" w:eastAsia="宋体"/>
          <w:snapToGrid w:val="0"/>
        </w:rPr>
      </w:pPr>
      <w:bookmarkStart w:id="60" w:name="_Toc29970"/>
      <w:r>
        <w:rPr>
          <w:rFonts w:hint="eastAsia" w:ascii="宋体" w:hAnsi="宋体" w:eastAsia="宋体"/>
          <w:snapToGrid w:val="0"/>
        </w:rPr>
        <w:t>第三章 技术规范</w:t>
      </w:r>
      <w:bookmarkEnd w:id="58"/>
      <w:bookmarkEnd w:id="60"/>
    </w:p>
    <w:p/>
    <w:p>
      <w:pPr>
        <w:pStyle w:val="4"/>
        <w:spacing w:before="120" w:after="120" w:line="360" w:lineRule="auto"/>
        <w:rPr>
          <w:rFonts w:ascii="宋体" w:hAnsi="宋体" w:eastAsia="宋体"/>
          <w:snapToGrid w:val="0"/>
          <w:sz w:val="28"/>
          <w:szCs w:val="28"/>
        </w:rPr>
      </w:pPr>
      <w:bookmarkStart w:id="61" w:name="_Toc2334"/>
      <w:r>
        <w:rPr>
          <w:rFonts w:hint="eastAsia" w:ascii="宋体" w:hAnsi="宋体" w:eastAsia="宋体"/>
          <w:snapToGrid w:val="0"/>
          <w:sz w:val="28"/>
          <w:szCs w:val="28"/>
        </w:rPr>
        <w:t>一、 本工程采用的计价规范</w:t>
      </w:r>
      <w:bookmarkEnd w:id="61"/>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 xml:space="preserve">《建设工程工程量清单计价规范》         </w:t>
      </w:r>
      <w:r>
        <w:rPr>
          <w:rFonts w:asciiTheme="minorEastAsia" w:hAnsiTheme="minorEastAsia" w:eastAsiaTheme="minorEastAsia"/>
          <w:snapToGrid w:val="0"/>
          <w:sz w:val="24"/>
          <w:szCs w:val="24"/>
        </w:rPr>
        <w:t>GB50500-20</w:t>
      </w:r>
      <w:r>
        <w:rPr>
          <w:rFonts w:hint="eastAsia" w:asciiTheme="minorEastAsia" w:hAnsiTheme="minorEastAsia" w:eastAsiaTheme="minorEastAsia"/>
          <w:snapToGrid w:val="0"/>
          <w:sz w:val="24"/>
          <w:szCs w:val="24"/>
        </w:rPr>
        <w:t>1</w:t>
      </w:r>
      <w:r>
        <w:rPr>
          <w:rFonts w:asciiTheme="minorEastAsia" w:hAnsiTheme="minorEastAsia" w:eastAsiaTheme="minorEastAsia"/>
          <w:snapToGrid w:val="0"/>
          <w:sz w:val="24"/>
          <w:szCs w:val="24"/>
        </w:rPr>
        <w:t>3</w:t>
      </w:r>
    </w:p>
    <w:p>
      <w:pPr>
        <w:pStyle w:val="4"/>
        <w:spacing w:before="120" w:after="120" w:line="360" w:lineRule="auto"/>
        <w:rPr>
          <w:rFonts w:ascii="宋体" w:hAnsi="宋体" w:eastAsia="宋体"/>
          <w:snapToGrid w:val="0"/>
          <w:sz w:val="28"/>
          <w:szCs w:val="28"/>
        </w:rPr>
      </w:pPr>
      <w:bookmarkStart w:id="62" w:name="_Toc32132"/>
      <w:r>
        <w:rPr>
          <w:rFonts w:hint="eastAsia" w:ascii="宋体" w:hAnsi="宋体" w:eastAsia="宋体"/>
          <w:snapToGrid w:val="0"/>
          <w:sz w:val="28"/>
          <w:szCs w:val="28"/>
        </w:rPr>
        <w:t>二、 本工程采用的技术规范</w:t>
      </w:r>
      <w:bookmarkEnd w:id="62"/>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现行国家及地方相关技术及验收规范。</w:t>
      </w:r>
    </w:p>
    <w:p>
      <w:pPr>
        <w:pStyle w:val="4"/>
        <w:spacing w:before="120" w:after="120" w:line="360" w:lineRule="auto"/>
        <w:rPr>
          <w:rFonts w:ascii="宋体" w:hAnsi="宋体" w:eastAsia="宋体"/>
          <w:snapToGrid w:val="0"/>
          <w:sz w:val="28"/>
          <w:szCs w:val="28"/>
        </w:rPr>
      </w:pPr>
      <w:bookmarkStart w:id="63" w:name="_Toc28065"/>
      <w:r>
        <w:rPr>
          <w:rFonts w:hint="eastAsia" w:ascii="宋体" w:hAnsi="宋体" w:eastAsia="宋体"/>
          <w:snapToGrid w:val="0"/>
          <w:sz w:val="28"/>
          <w:szCs w:val="28"/>
        </w:rPr>
        <w:t>三、 对施工工艺的特殊要求</w:t>
      </w:r>
      <w:bookmarkEnd w:id="63"/>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无</w:t>
      </w:r>
    </w:p>
    <w:p>
      <w:pPr>
        <w:rPr>
          <w:rFonts w:ascii="宋体" w:hAnsi="宋体" w:eastAsia="宋体"/>
          <w:b/>
          <w:snapToGrid w:val="0"/>
          <w:sz w:val="32"/>
        </w:rPr>
      </w:pPr>
      <w:bookmarkStart w:id="64" w:name="_Toc111371836"/>
    </w:p>
    <w:p>
      <w:pPr>
        <w:rPr>
          <w:rFonts w:ascii="宋体" w:hAnsi="宋体" w:eastAsia="宋体"/>
          <w:b/>
          <w:snapToGrid w:val="0"/>
          <w:sz w:val="32"/>
        </w:rPr>
      </w:pPr>
    </w:p>
    <w:p>
      <w:pPr>
        <w:rPr>
          <w:rFonts w:ascii="宋体" w:hAnsi="宋体" w:eastAsia="宋体"/>
          <w:b/>
          <w:snapToGrid w:val="0"/>
          <w:sz w:val="32"/>
        </w:rPr>
      </w:pPr>
    </w:p>
    <w:p>
      <w:pPr>
        <w:rPr>
          <w:rFonts w:ascii="宋体" w:hAnsi="宋体" w:eastAsia="宋体"/>
          <w:b/>
          <w:snapToGrid w:val="0"/>
          <w:sz w:val="32"/>
        </w:rPr>
      </w:pPr>
    </w:p>
    <w:p>
      <w:pPr>
        <w:rPr>
          <w:rFonts w:ascii="宋体" w:hAnsi="宋体" w:eastAsia="宋体"/>
          <w:b/>
          <w:snapToGrid w:val="0"/>
          <w:sz w:val="32"/>
        </w:rPr>
      </w:pPr>
    </w:p>
    <w:p>
      <w:pPr>
        <w:pStyle w:val="38"/>
        <w:rPr>
          <w:rFonts w:ascii="宋体" w:hAnsi="宋体" w:eastAsia="宋体"/>
          <w:snapToGrid w:val="0"/>
        </w:rPr>
      </w:pPr>
      <w:bookmarkStart w:id="65" w:name="_Toc22669"/>
      <w:r>
        <w:rPr>
          <w:rFonts w:hint="eastAsia" w:ascii="宋体" w:hAnsi="宋体" w:eastAsia="宋体"/>
          <w:snapToGrid w:val="0"/>
        </w:rPr>
        <w:t>第四章 工程量清单</w:t>
      </w:r>
      <w:bookmarkEnd w:id="64"/>
      <w:r>
        <w:rPr>
          <w:rFonts w:hint="eastAsia" w:ascii="宋体" w:hAnsi="宋体" w:eastAsia="宋体"/>
          <w:snapToGrid w:val="0"/>
        </w:rPr>
        <w:t>（另附）</w:t>
      </w:r>
      <w:bookmarkEnd w:id="65"/>
    </w:p>
    <w:p>
      <w:pPr>
        <w:tabs>
          <w:tab w:val="left" w:pos="0"/>
          <w:tab w:val="left" w:pos="993"/>
          <w:tab w:val="left" w:pos="1134"/>
        </w:tabs>
        <w:adjustRightInd w:val="0"/>
        <w:snapToGrid w:val="0"/>
        <w:spacing w:line="300" w:lineRule="auto"/>
        <w:ind w:left="840"/>
        <w:jc w:val="center"/>
        <w:rPr>
          <w:rFonts w:ascii="宋体" w:hAnsi="宋体"/>
          <w:b/>
          <w:snapToGrid w:val="0"/>
          <w:sz w:val="44"/>
        </w:rPr>
      </w:pPr>
    </w:p>
    <w:p>
      <w:pPr>
        <w:tabs>
          <w:tab w:val="left" w:pos="0"/>
          <w:tab w:val="left" w:pos="993"/>
          <w:tab w:val="left" w:pos="1134"/>
        </w:tabs>
        <w:adjustRightInd w:val="0"/>
        <w:snapToGrid w:val="0"/>
        <w:spacing w:line="300" w:lineRule="auto"/>
        <w:ind w:left="840"/>
        <w:jc w:val="center"/>
        <w:rPr>
          <w:rFonts w:ascii="宋体" w:hAnsi="宋体"/>
          <w:b/>
          <w:snapToGrid w:val="0"/>
          <w:sz w:val="44"/>
        </w:rPr>
      </w:pPr>
    </w:p>
    <w:p>
      <w:pPr>
        <w:pStyle w:val="38"/>
        <w:rPr>
          <w:rFonts w:ascii="宋体" w:hAnsi="宋体" w:eastAsia="宋体"/>
          <w:snapToGrid w:val="0"/>
        </w:rPr>
      </w:pPr>
      <w:bookmarkStart w:id="66" w:name="_Toc111371837"/>
      <w:bookmarkStart w:id="67" w:name="_Toc15472"/>
      <w:r>
        <w:rPr>
          <w:rFonts w:hint="eastAsia" w:ascii="宋体" w:hAnsi="宋体" w:eastAsia="宋体"/>
          <w:snapToGrid w:val="0"/>
        </w:rPr>
        <w:t>第五章 图纸和技术资料</w:t>
      </w:r>
      <w:bookmarkEnd w:id="66"/>
      <w:r>
        <w:rPr>
          <w:rFonts w:hint="eastAsia" w:ascii="宋体" w:hAnsi="宋体" w:eastAsia="宋体"/>
          <w:snapToGrid w:val="0"/>
        </w:rPr>
        <w:t>（无）</w:t>
      </w:r>
      <w:bookmarkEnd w:id="67"/>
    </w:p>
    <w:bookmarkEnd w:id="59"/>
    <w:p>
      <w:pPr>
        <w:tabs>
          <w:tab w:val="left" w:pos="0"/>
          <w:tab w:val="left" w:pos="567"/>
          <w:tab w:val="left" w:pos="993"/>
          <w:tab w:val="left" w:pos="1134"/>
        </w:tabs>
        <w:adjustRightInd w:val="0"/>
        <w:snapToGrid w:val="0"/>
        <w:spacing w:line="360" w:lineRule="auto"/>
        <w:ind w:firstLine="643" w:firstLineChars="200"/>
        <w:jc w:val="both"/>
        <w:rPr>
          <w:rFonts w:ascii="宋体" w:hAnsi="宋体" w:eastAsia="宋体"/>
          <w:b/>
          <w:snapToGrid w:val="0"/>
          <w:sz w:val="32"/>
        </w:rPr>
      </w:pPr>
      <w:bookmarkStart w:id="68" w:name="_Toc329097753"/>
    </w:p>
    <w:p>
      <w:pPr>
        <w:tabs>
          <w:tab w:val="left" w:pos="0"/>
          <w:tab w:val="left" w:pos="567"/>
          <w:tab w:val="left" w:pos="993"/>
          <w:tab w:val="left" w:pos="1134"/>
        </w:tabs>
        <w:adjustRightInd w:val="0"/>
        <w:snapToGrid w:val="0"/>
        <w:spacing w:line="360" w:lineRule="auto"/>
        <w:ind w:firstLine="643" w:firstLineChars="200"/>
        <w:jc w:val="both"/>
        <w:rPr>
          <w:rFonts w:ascii="宋体" w:hAnsi="宋体" w:eastAsia="宋体"/>
          <w:b/>
          <w:snapToGrid w:val="0"/>
          <w:sz w:val="32"/>
        </w:rPr>
      </w:pPr>
    </w:p>
    <w:p>
      <w:pPr>
        <w:rPr>
          <w:rFonts w:ascii="宋体" w:hAnsi="宋体" w:eastAsia="宋体"/>
          <w:b/>
          <w:snapToGrid w:val="0"/>
          <w:sz w:val="32"/>
        </w:rPr>
      </w:pPr>
      <w:r>
        <w:rPr>
          <w:rFonts w:ascii="宋体" w:hAnsi="宋体" w:eastAsia="宋体"/>
          <w:snapToGrid w:val="0"/>
        </w:rPr>
        <w:br w:type="page"/>
      </w:r>
    </w:p>
    <w:p>
      <w:pPr>
        <w:pStyle w:val="38"/>
        <w:rPr>
          <w:rFonts w:ascii="宋体" w:hAnsi="宋体" w:eastAsia="宋体"/>
          <w:snapToGrid w:val="0"/>
        </w:rPr>
      </w:pPr>
      <w:bookmarkStart w:id="69" w:name="_Toc24450"/>
      <w:r>
        <w:rPr>
          <w:rFonts w:hint="eastAsia" w:ascii="宋体" w:hAnsi="宋体" w:eastAsia="宋体"/>
          <w:snapToGrid w:val="0"/>
        </w:rPr>
        <w:t>第六章 投标文件（格式）</w:t>
      </w:r>
      <w:bookmarkEnd w:id="68"/>
      <w:bookmarkEnd w:id="69"/>
    </w:p>
    <w:p>
      <w:pPr>
        <w:tabs>
          <w:tab w:val="left" w:pos="1800"/>
        </w:tabs>
        <w:snapToGrid w:val="0"/>
        <w:spacing w:line="500" w:lineRule="atLeast"/>
        <w:ind w:left="661" w:leftChars="210" w:hanging="241" w:hangingChars="100"/>
        <w:jc w:val="center"/>
        <w:rPr>
          <w:rFonts w:ascii="宋体" w:hAnsi="宋体" w:eastAsia="宋体"/>
          <w:b/>
          <w:sz w:val="24"/>
        </w:rPr>
      </w:pPr>
    </w:p>
    <w:p>
      <w:pPr>
        <w:adjustRightInd w:val="0"/>
        <w:snapToGrid w:val="0"/>
        <w:spacing w:before="120" w:beforeLines="50" w:line="300" w:lineRule="auto"/>
        <w:jc w:val="center"/>
        <w:rPr>
          <w:rFonts w:ascii="宋体" w:hAnsi="宋体" w:eastAsia="宋体"/>
          <w:sz w:val="52"/>
          <w:szCs w:val="52"/>
          <w:u w:val="single"/>
        </w:rPr>
      </w:pPr>
      <w:r>
        <w:rPr>
          <w:rFonts w:hint="eastAsia" w:ascii="宋体" w:hAnsi="宋体" w:eastAsia="宋体"/>
          <w:sz w:val="52"/>
          <w:szCs w:val="52"/>
          <w:u w:val="single"/>
        </w:rPr>
        <w:t>南京大学计算机学院楼供电增容改造</w:t>
      </w:r>
    </w:p>
    <w:p>
      <w:pPr>
        <w:adjustRightInd w:val="0"/>
        <w:snapToGrid w:val="0"/>
        <w:spacing w:before="120" w:beforeLines="50" w:line="300" w:lineRule="auto"/>
        <w:jc w:val="center"/>
        <w:rPr>
          <w:rFonts w:ascii="宋体" w:hAnsi="宋体" w:eastAsia="宋体"/>
          <w:sz w:val="52"/>
          <w:szCs w:val="52"/>
        </w:rPr>
      </w:pPr>
      <w:r>
        <w:rPr>
          <w:rFonts w:hint="eastAsia" w:ascii="宋体" w:hAnsi="宋体" w:eastAsia="宋体"/>
          <w:sz w:val="52"/>
          <w:szCs w:val="52"/>
        </w:rPr>
        <w:t>工程</w:t>
      </w:r>
    </w:p>
    <w:p>
      <w:pPr>
        <w:pStyle w:val="21"/>
        <w:spacing w:line="264" w:lineRule="auto"/>
        <w:jc w:val="center"/>
        <w:rPr>
          <w:rFonts w:hAnsi="宋体"/>
          <w:sz w:val="36"/>
        </w:rPr>
      </w:pPr>
    </w:p>
    <w:p>
      <w:pPr>
        <w:pStyle w:val="21"/>
        <w:spacing w:line="264" w:lineRule="auto"/>
        <w:jc w:val="center"/>
        <w:rPr>
          <w:rFonts w:hAnsi="宋体"/>
          <w:b/>
          <w:sz w:val="84"/>
        </w:rPr>
      </w:pPr>
      <w:r>
        <w:rPr>
          <w:rFonts w:hint="eastAsia" w:hAnsi="宋体"/>
          <w:b/>
          <w:sz w:val="84"/>
        </w:rPr>
        <w:t>施工投标文件</w:t>
      </w:r>
    </w:p>
    <w:p>
      <w:pPr>
        <w:pStyle w:val="21"/>
        <w:spacing w:line="264" w:lineRule="auto"/>
        <w:jc w:val="center"/>
        <w:rPr>
          <w:rFonts w:hAnsi="宋体"/>
          <w:sz w:val="28"/>
          <w:szCs w:val="28"/>
        </w:rPr>
      </w:pPr>
    </w:p>
    <w:p>
      <w:pPr>
        <w:adjustRightInd w:val="0"/>
        <w:snapToGrid w:val="0"/>
        <w:spacing w:line="300" w:lineRule="auto"/>
        <w:jc w:val="center"/>
        <w:rPr>
          <w:rFonts w:ascii="宋体" w:hAnsi="宋体"/>
          <w:snapToGrid w:val="0"/>
          <w:spacing w:val="-20"/>
          <w:sz w:val="32"/>
          <w:szCs w:val="32"/>
          <w:u w:val="single"/>
        </w:rPr>
      </w:pPr>
    </w:p>
    <w:p>
      <w:pPr>
        <w:pStyle w:val="21"/>
        <w:spacing w:line="264" w:lineRule="auto"/>
        <w:rPr>
          <w:rFonts w:hAnsi="宋体"/>
          <w:sz w:val="28"/>
          <w:szCs w:val="28"/>
        </w:rPr>
      </w:pPr>
    </w:p>
    <w:p>
      <w:pPr>
        <w:pStyle w:val="21"/>
        <w:spacing w:line="264" w:lineRule="auto"/>
        <w:jc w:val="center"/>
        <w:rPr>
          <w:rFonts w:hAnsi="宋体"/>
          <w:sz w:val="28"/>
          <w:szCs w:val="28"/>
        </w:rPr>
      </w:pPr>
    </w:p>
    <w:p>
      <w:pPr>
        <w:pStyle w:val="21"/>
        <w:spacing w:line="264" w:lineRule="auto"/>
        <w:jc w:val="center"/>
        <w:rPr>
          <w:rFonts w:hAnsi="宋体"/>
          <w:sz w:val="24"/>
          <w:szCs w:val="24"/>
        </w:rPr>
      </w:pPr>
    </w:p>
    <w:p>
      <w:pPr>
        <w:pStyle w:val="21"/>
        <w:spacing w:line="840" w:lineRule="auto"/>
        <w:ind w:left="630" w:leftChars="315" w:firstLine="600" w:firstLineChars="250"/>
        <w:rPr>
          <w:rFonts w:hAnsi="宋体"/>
          <w:sz w:val="24"/>
          <w:szCs w:val="24"/>
        </w:rPr>
      </w:pPr>
    </w:p>
    <w:p>
      <w:pPr>
        <w:pStyle w:val="21"/>
        <w:spacing w:line="840" w:lineRule="auto"/>
        <w:rPr>
          <w:rFonts w:hAnsi="宋体"/>
          <w:sz w:val="24"/>
          <w:szCs w:val="24"/>
        </w:rPr>
      </w:pPr>
    </w:p>
    <w:p>
      <w:pPr>
        <w:pStyle w:val="21"/>
        <w:spacing w:line="840" w:lineRule="auto"/>
        <w:ind w:left="630" w:leftChars="315" w:firstLine="750" w:firstLineChars="250"/>
        <w:rPr>
          <w:rFonts w:hAnsi="宋体"/>
          <w:b/>
          <w:sz w:val="30"/>
          <w:u w:val="single"/>
        </w:rPr>
      </w:pPr>
      <w:r>
        <w:rPr>
          <w:rFonts w:hint="eastAsia" w:hAnsi="宋体"/>
          <w:b/>
          <w:sz w:val="30"/>
        </w:rPr>
        <w:t>投</w:t>
      </w:r>
      <w:r>
        <w:rPr>
          <w:rFonts w:hAnsi="宋体"/>
          <w:b/>
          <w:sz w:val="30"/>
        </w:rPr>
        <w:t xml:space="preserve">   </w:t>
      </w:r>
      <w:r>
        <w:rPr>
          <w:rFonts w:hint="eastAsia" w:hAnsi="宋体"/>
          <w:b/>
          <w:sz w:val="30"/>
        </w:rPr>
        <w:t>标</w:t>
      </w:r>
      <w:r>
        <w:rPr>
          <w:rFonts w:hAnsi="宋体"/>
          <w:b/>
          <w:sz w:val="30"/>
        </w:rPr>
        <w:t xml:space="preserve">  </w:t>
      </w:r>
      <w:r>
        <w:rPr>
          <w:rFonts w:hint="eastAsia" w:hAnsi="宋体"/>
          <w:b/>
          <w:sz w:val="30"/>
        </w:rPr>
        <w:t>人（章）：</w:t>
      </w:r>
      <w:r>
        <w:rPr>
          <w:rFonts w:hAnsi="宋体"/>
          <w:b/>
          <w:sz w:val="30"/>
          <w:u w:val="single"/>
        </w:rPr>
        <w:t>_</w:t>
      </w:r>
      <w:r>
        <w:rPr>
          <w:rFonts w:hint="eastAsia" w:hAnsi="宋体"/>
          <w:b/>
          <w:sz w:val="30"/>
          <w:u w:val="single"/>
        </w:rPr>
        <w:t xml:space="preserve">                     </w:t>
      </w:r>
      <w:r>
        <w:rPr>
          <w:rFonts w:hAnsi="宋体"/>
          <w:b/>
          <w:sz w:val="30"/>
          <w:u w:val="single"/>
        </w:rPr>
        <w:t>_</w:t>
      </w:r>
      <w:r>
        <w:rPr>
          <w:rFonts w:hint="eastAsia" w:hAnsi="宋体"/>
          <w:b/>
          <w:sz w:val="30"/>
        </w:rPr>
        <w:t xml:space="preserve">   </w:t>
      </w:r>
    </w:p>
    <w:p>
      <w:pPr>
        <w:pStyle w:val="21"/>
        <w:spacing w:line="840" w:lineRule="auto"/>
        <w:ind w:left="630" w:leftChars="315" w:firstLine="750" w:firstLineChars="250"/>
        <w:rPr>
          <w:rFonts w:hAnsi="宋体"/>
          <w:b/>
          <w:sz w:val="30"/>
          <w:u w:val="single"/>
        </w:rPr>
      </w:pPr>
      <w:r>
        <w:rPr>
          <w:rFonts w:hint="eastAsia" w:hAnsi="宋体"/>
          <w:b/>
          <w:sz w:val="30"/>
        </w:rPr>
        <w:t>法定代表人或委托代理人（签字）：</w:t>
      </w:r>
      <w:r>
        <w:rPr>
          <w:rFonts w:hint="eastAsia" w:hAnsi="宋体"/>
          <w:b/>
          <w:sz w:val="30"/>
          <w:u w:val="single"/>
        </w:rPr>
        <w:t xml:space="preserve">         </w:t>
      </w:r>
      <w:r>
        <w:rPr>
          <w:rFonts w:hAnsi="宋体"/>
          <w:b/>
          <w:sz w:val="30"/>
          <w:u w:val="single"/>
        </w:rPr>
        <w:t>_</w:t>
      </w:r>
    </w:p>
    <w:p>
      <w:pPr>
        <w:pStyle w:val="21"/>
        <w:spacing w:line="840" w:lineRule="auto"/>
        <w:ind w:left="630" w:leftChars="315" w:firstLine="750" w:firstLineChars="250"/>
        <w:rPr>
          <w:rFonts w:hAnsi="宋体"/>
          <w:b/>
          <w:sz w:val="72"/>
        </w:rPr>
      </w:pPr>
      <w:r>
        <w:rPr>
          <w:rFonts w:hint="eastAsia" w:hAnsi="宋体"/>
          <w:b/>
          <w:sz w:val="30"/>
        </w:rPr>
        <w:t>日     期：</w:t>
      </w:r>
      <w:r>
        <w:rPr>
          <w:rFonts w:hint="eastAsia" w:hAnsi="宋体"/>
          <w:b/>
          <w:sz w:val="30"/>
          <w:u w:val="single"/>
        </w:rPr>
        <w:t xml:space="preserve">      </w:t>
      </w:r>
      <w:r>
        <w:rPr>
          <w:rFonts w:hint="eastAsia" w:hAnsi="宋体"/>
          <w:b/>
          <w:sz w:val="30"/>
        </w:rPr>
        <w:t xml:space="preserve">年 </w:t>
      </w:r>
      <w:r>
        <w:rPr>
          <w:rFonts w:hint="eastAsia" w:hAnsi="宋体"/>
          <w:b/>
          <w:sz w:val="30"/>
          <w:u w:val="single"/>
        </w:rPr>
        <w:t xml:space="preserve">     </w:t>
      </w:r>
      <w:r>
        <w:rPr>
          <w:rFonts w:hint="eastAsia" w:hAnsi="宋体"/>
          <w:b/>
          <w:sz w:val="30"/>
        </w:rPr>
        <w:t xml:space="preserve">月 </w:t>
      </w:r>
      <w:r>
        <w:rPr>
          <w:rFonts w:hAnsi="宋体"/>
          <w:b/>
          <w:sz w:val="30"/>
          <w:u w:val="single"/>
        </w:rPr>
        <w:t>_</w:t>
      </w:r>
      <w:r>
        <w:rPr>
          <w:rFonts w:hint="eastAsia" w:hAnsi="宋体"/>
          <w:b/>
          <w:sz w:val="30"/>
          <w:u w:val="single"/>
        </w:rPr>
        <w:t xml:space="preserve">    </w:t>
      </w:r>
      <w:r>
        <w:rPr>
          <w:rFonts w:hint="eastAsia" w:hAnsi="宋体"/>
          <w:b/>
          <w:sz w:val="30"/>
        </w:rPr>
        <w:t>日</w:t>
      </w:r>
    </w:p>
    <w:p>
      <w:pPr>
        <w:pStyle w:val="4"/>
        <w:rPr>
          <w:rFonts w:hAnsi="宋体"/>
        </w:rPr>
      </w:pPr>
      <w:bookmarkStart w:id="70" w:name="_Toc111371839"/>
      <w:bookmarkStart w:id="71" w:name="_Toc5134"/>
      <w:r>
        <w:rPr>
          <w:rFonts w:hint="eastAsia" w:ascii="宋体" w:hAnsi="宋体" w:eastAsia="宋体"/>
          <w:snapToGrid w:val="0"/>
        </w:rPr>
        <w:t>一、投标函</w:t>
      </w:r>
      <w:bookmarkEnd w:id="70"/>
      <w:bookmarkEnd w:id="71"/>
    </w:p>
    <w:p>
      <w:pPr>
        <w:pStyle w:val="21"/>
        <w:adjustRightInd w:val="0"/>
        <w:snapToGrid w:val="0"/>
        <w:spacing w:line="360" w:lineRule="auto"/>
        <w:rPr>
          <w:rFonts w:hAnsi="宋体"/>
          <w:u w:val="single"/>
        </w:rPr>
      </w:pPr>
      <w:r>
        <w:rPr>
          <w:rFonts w:hint="eastAsia" w:hAnsi="宋体"/>
        </w:rPr>
        <w:t>招标人：</w:t>
      </w:r>
      <w:r>
        <w:rPr>
          <w:rFonts w:hint="eastAsia" w:hAnsi="宋体"/>
          <w:u w:val="single"/>
        </w:rPr>
        <w:t xml:space="preserve">                </w:t>
      </w:r>
    </w:p>
    <w:p>
      <w:pPr>
        <w:pStyle w:val="21"/>
        <w:adjustRightInd w:val="0"/>
        <w:snapToGrid w:val="0"/>
        <w:spacing w:line="360" w:lineRule="auto"/>
        <w:ind w:left="673" w:leftChars="179" w:hanging="315" w:hangingChars="150"/>
        <w:rPr>
          <w:rFonts w:hAnsi="宋体"/>
        </w:rPr>
      </w:pPr>
      <w:r>
        <w:rPr>
          <w:rFonts w:hint="eastAsia" w:hAnsi="宋体"/>
        </w:rPr>
        <w:t>1、根据已收到的</w:t>
      </w:r>
      <w:r>
        <w:rPr>
          <w:rFonts w:hint="eastAsia" w:hAnsi="宋体"/>
          <w:u w:val="single"/>
        </w:rPr>
        <w:t xml:space="preserve">                </w:t>
      </w:r>
      <w:r>
        <w:rPr>
          <w:rFonts w:hint="eastAsia" w:hAnsi="宋体"/>
        </w:rPr>
        <w:t>工程的招标文件，我单位经考察现场和研究上述工程招标文件的投标须知、合同条件、技术规范、图纸、工程量清单和其他有关文件后，我方愿以人民币</w:t>
      </w:r>
      <w:r>
        <w:rPr>
          <w:rFonts w:hint="eastAsia" w:hAnsi="宋体"/>
          <w:u w:val="single"/>
        </w:rPr>
        <w:t xml:space="preserve">      </w:t>
      </w:r>
      <w:r>
        <w:rPr>
          <w:rFonts w:hint="eastAsia" w:hAnsi="宋体"/>
        </w:rPr>
        <w:t>元（￥：</w:t>
      </w:r>
      <w:r>
        <w:rPr>
          <w:rFonts w:hint="eastAsia" w:hAnsi="宋体"/>
          <w:u w:val="single"/>
        </w:rPr>
        <w:t xml:space="preserve">      </w:t>
      </w:r>
      <w:r>
        <w:rPr>
          <w:rFonts w:hint="eastAsia" w:hAnsi="宋体"/>
        </w:rPr>
        <w:t>元）的总价，按上述合同条件、技术规范、图纸、工程量清单的条件承包上述工程的施工、竣工和保修。</w:t>
      </w:r>
    </w:p>
    <w:p>
      <w:pPr>
        <w:pStyle w:val="21"/>
        <w:adjustRightInd w:val="0"/>
        <w:snapToGrid w:val="0"/>
        <w:spacing w:line="360" w:lineRule="auto"/>
        <w:ind w:left="673" w:leftChars="179" w:hanging="315" w:hangingChars="150"/>
        <w:rPr>
          <w:rFonts w:hAnsi="宋体"/>
        </w:rPr>
      </w:pPr>
      <w:r>
        <w:rPr>
          <w:rFonts w:hint="eastAsia" w:hAnsi="宋体"/>
        </w:rPr>
        <w:t>2、一旦我方中标，我方保证在</w:t>
      </w:r>
      <w:r>
        <w:rPr>
          <w:rFonts w:hint="eastAsia" w:hAnsi="宋体"/>
          <w:u w:val="single"/>
        </w:rPr>
        <w:t xml:space="preserve">       </w:t>
      </w:r>
      <w:r>
        <w:rPr>
          <w:rFonts w:hint="eastAsia" w:hAnsi="宋体"/>
        </w:rPr>
        <w:t>天(日历日)内竣工并移交整个工程且质量标准为</w:t>
      </w:r>
      <w:r>
        <w:rPr>
          <w:rFonts w:hint="eastAsia" w:hAnsi="宋体"/>
          <w:u w:val="single"/>
        </w:rPr>
        <w:t>国家质量验收合格标准</w:t>
      </w:r>
      <w:r>
        <w:rPr>
          <w:rFonts w:hint="eastAsia" w:hAnsi="宋体"/>
        </w:rPr>
        <w:t>。</w:t>
      </w:r>
    </w:p>
    <w:p>
      <w:pPr>
        <w:pStyle w:val="21"/>
        <w:adjustRightInd w:val="0"/>
        <w:snapToGrid w:val="0"/>
        <w:spacing w:line="360" w:lineRule="auto"/>
        <w:ind w:firstLine="359"/>
        <w:rPr>
          <w:rFonts w:hAnsi="宋体"/>
        </w:rPr>
      </w:pPr>
      <w:r>
        <w:rPr>
          <w:rFonts w:hint="eastAsia" w:hAnsi="宋体"/>
        </w:rPr>
        <w:t xml:space="preserve">3、如果我方中标，将派出 </w:t>
      </w:r>
      <w:r>
        <w:rPr>
          <w:rFonts w:hint="eastAsia" w:hAnsi="宋体"/>
          <w:u w:val="single"/>
        </w:rPr>
        <w:t xml:space="preserve">          </w:t>
      </w:r>
      <w:r>
        <w:rPr>
          <w:rFonts w:hint="eastAsia" w:hAnsi="宋体"/>
        </w:rPr>
        <w:t>（项目经理姓名）作为本工程的项目经理。</w:t>
      </w:r>
    </w:p>
    <w:p>
      <w:pPr>
        <w:pStyle w:val="21"/>
        <w:adjustRightInd w:val="0"/>
        <w:snapToGrid w:val="0"/>
        <w:spacing w:line="360" w:lineRule="auto"/>
        <w:ind w:firstLine="359"/>
        <w:rPr>
          <w:rFonts w:hAnsi="宋体"/>
        </w:rPr>
      </w:pPr>
      <w:r>
        <w:rPr>
          <w:rFonts w:hint="eastAsia" w:hAnsi="宋体"/>
        </w:rPr>
        <w:t>4、我方接受招标文件中的工程款预付及支付条件。</w:t>
      </w:r>
    </w:p>
    <w:p>
      <w:pPr>
        <w:pStyle w:val="21"/>
        <w:adjustRightInd w:val="0"/>
        <w:snapToGrid w:val="0"/>
        <w:spacing w:line="360" w:lineRule="auto"/>
        <w:ind w:left="673" w:leftChars="179" w:hanging="315" w:hangingChars="150"/>
        <w:rPr>
          <w:rFonts w:hAnsi="宋体"/>
        </w:rPr>
      </w:pPr>
      <w:r>
        <w:rPr>
          <w:rFonts w:hint="eastAsia" w:hAnsi="宋体"/>
        </w:rPr>
        <w:t>5、我方同意所递交的投标文件在“投标须知”前附表规定的投标有效期内有效，在此期间内我方的投标有可能中标，我方将受此约束。</w:t>
      </w:r>
    </w:p>
    <w:p>
      <w:pPr>
        <w:pStyle w:val="21"/>
        <w:adjustRightInd w:val="0"/>
        <w:snapToGrid w:val="0"/>
        <w:spacing w:line="360" w:lineRule="auto"/>
        <w:ind w:left="673" w:leftChars="179" w:hanging="315" w:hangingChars="150"/>
        <w:rPr>
          <w:rFonts w:hAnsi="宋体"/>
        </w:rPr>
      </w:pPr>
      <w:r>
        <w:rPr>
          <w:rFonts w:hint="eastAsia" w:hAnsi="宋体"/>
        </w:rPr>
        <w:t>6、除非另外达成协议并生效，你方的中标通知书和本投标文件将构成约束我们双方的合同。</w:t>
      </w:r>
    </w:p>
    <w:p>
      <w:pPr>
        <w:pStyle w:val="21"/>
        <w:adjustRightInd w:val="0"/>
        <w:snapToGrid w:val="0"/>
        <w:spacing w:line="300" w:lineRule="auto"/>
        <w:rPr>
          <w:rFonts w:hAnsi="宋体"/>
        </w:rPr>
      </w:pPr>
    </w:p>
    <w:p>
      <w:pPr>
        <w:pStyle w:val="21"/>
        <w:adjustRightInd w:val="0"/>
        <w:snapToGrid w:val="0"/>
        <w:spacing w:line="360" w:lineRule="auto"/>
        <w:ind w:firstLine="359"/>
        <w:rPr>
          <w:rFonts w:hAnsi="宋体"/>
        </w:rPr>
      </w:pPr>
      <w:r>
        <w:rPr>
          <w:rFonts w:hint="eastAsia" w:hAnsi="宋体"/>
        </w:rPr>
        <w:t>投标人：(盖章)</w:t>
      </w:r>
    </w:p>
    <w:p>
      <w:pPr>
        <w:pStyle w:val="21"/>
        <w:adjustRightInd w:val="0"/>
        <w:snapToGrid w:val="0"/>
        <w:spacing w:line="360" w:lineRule="auto"/>
        <w:ind w:firstLine="359"/>
        <w:rPr>
          <w:rFonts w:hAnsi="宋体"/>
        </w:rPr>
      </w:pPr>
      <w:r>
        <w:rPr>
          <w:rFonts w:hint="eastAsia" w:hAnsi="宋体"/>
        </w:rPr>
        <w:t>单位地址：</w:t>
      </w:r>
    </w:p>
    <w:p>
      <w:pPr>
        <w:pStyle w:val="21"/>
        <w:adjustRightInd w:val="0"/>
        <w:snapToGrid w:val="0"/>
        <w:spacing w:line="360" w:lineRule="auto"/>
        <w:ind w:firstLine="359"/>
        <w:rPr>
          <w:rFonts w:hAnsi="宋体"/>
        </w:rPr>
      </w:pPr>
      <w:r>
        <w:rPr>
          <w:rFonts w:hint="eastAsia" w:hAnsi="宋体"/>
        </w:rPr>
        <w:t>法定代表人或委托代理人：(签字或盖章)</w:t>
      </w:r>
    </w:p>
    <w:p>
      <w:pPr>
        <w:pStyle w:val="21"/>
        <w:adjustRightInd w:val="0"/>
        <w:snapToGrid w:val="0"/>
        <w:spacing w:line="360" w:lineRule="auto"/>
        <w:ind w:firstLine="359"/>
        <w:rPr>
          <w:rFonts w:hAnsi="宋体"/>
        </w:rPr>
      </w:pPr>
      <w:r>
        <w:rPr>
          <w:rFonts w:hint="eastAsia" w:hAnsi="宋体"/>
        </w:rPr>
        <w:t>邮政编码：</w:t>
      </w:r>
    </w:p>
    <w:p>
      <w:pPr>
        <w:pStyle w:val="21"/>
        <w:adjustRightInd w:val="0"/>
        <w:snapToGrid w:val="0"/>
        <w:spacing w:line="360" w:lineRule="auto"/>
        <w:ind w:firstLine="359"/>
        <w:rPr>
          <w:rFonts w:hAnsi="宋体"/>
        </w:rPr>
      </w:pPr>
      <w:r>
        <w:rPr>
          <w:rFonts w:hint="eastAsia" w:hAnsi="宋体"/>
        </w:rPr>
        <w:t>电话：</w:t>
      </w:r>
    </w:p>
    <w:p>
      <w:pPr>
        <w:pStyle w:val="21"/>
        <w:adjustRightInd w:val="0"/>
        <w:snapToGrid w:val="0"/>
        <w:spacing w:line="360" w:lineRule="auto"/>
        <w:ind w:firstLine="359"/>
        <w:rPr>
          <w:rFonts w:hAnsi="宋体"/>
        </w:rPr>
      </w:pPr>
      <w:r>
        <w:rPr>
          <w:rFonts w:hint="eastAsia" w:hAnsi="宋体"/>
        </w:rPr>
        <w:t>传真：</w:t>
      </w:r>
    </w:p>
    <w:p>
      <w:pPr>
        <w:pStyle w:val="21"/>
        <w:adjustRightInd w:val="0"/>
        <w:snapToGrid w:val="0"/>
        <w:spacing w:line="360" w:lineRule="auto"/>
        <w:ind w:firstLine="359"/>
        <w:rPr>
          <w:rFonts w:hAnsi="宋体"/>
        </w:rPr>
      </w:pPr>
      <w:r>
        <w:rPr>
          <w:rFonts w:hint="eastAsia" w:hAnsi="宋体"/>
        </w:rPr>
        <w:t>开户银行名称：</w:t>
      </w:r>
    </w:p>
    <w:p>
      <w:pPr>
        <w:pStyle w:val="21"/>
        <w:adjustRightInd w:val="0"/>
        <w:snapToGrid w:val="0"/>
        <w:spacing w:line="360" w:lineRule="auto"/>
        <w:ind w:firstLine="359"/>
        <w:rPr>
          <w:rFonts w:hAnsi="宋体"/>
        </w:rPr>
      </w:pPr>
      <w:r>
        <w:rPr>
          <w:rFonts w:hint="eastAsia" w:hAnsi="宋体"/>
        </w:rPr>
        <w:t>银行帐号：</w:t>
      </w:r>
    </w:p>
    <w:p>
      <w:pPr>
        <w:pStyle w:val="21"/>
        <w:adjustRightInd w:val="0"/>
        <w:snapToGrid w:val="0"/>
        <w:spacing w:line="360" w:lineRule="auto"/>
        <w:ind w:firstLine="359"/>
        <w:rPr>
          <w:rFonts w:hAnsi="宋体"/>
        </w:rPr>
      </w:pPr>
      <w:r>
        <w:rPr>
          <w:rFonts w:hint="eastAsia" w:hAnsi="宋体"/>
        </w:rPr>
        <w:t>开户行地址：</w:t>
      </w:r>
    </w:p>
    <w:p>
      <w:pPr>
        <w:pStyle w:val="21"/>
        <w:adjustRightInd w:val="0"/>
        <w:snapToGrid w:val="0"/>
        <w:spacing w:line="360" w:lineRule="auto"/>
        <w:ind w:firstLine="359"/>
        <w:rPr>
          <w:rFonts w:hAnsi="宋体"/>
        </w:rPr>
      </w:pPr>
      <w:r>
        <w:rPr>
          <w:rFonts w:hint="eastAsia" w:hAnsi="宋体"/>
        </w:rPr>
        <w:t>电话：</w:t>
      </w:r>
    </w:p>
    <w:p>
      <w:pPr>
        <w:pStyle w:val="21"/>
        <w:adjustRightInd w:val="0"/>
        <w:snapToGrid w:val="0"/>
        <w:spacing w:line="360" w:lineRule="auto"/>
        <w:ind w:firstLine="420" w:firstLineChars="200"/>
        <w:rPr>
          <w:rFonts w:hAnsi="宋体"/>
        </w:rPr>
      </w:pPr>
    </w:p>
    <w:p>
      <w:pPr>
        <w:pStyle w:val="21"/>
        <w:adjustRightInd w:val="0"/>
        <w:snapToGrid w:val="0"/>
        <w:spacing w:line="360" w:lineRule="auto"/>
        <w:ind w:firstLine="5460" w:firstLineChars="2600"/>
        <w:rPr>
          <w:rFonts w:hAnsi="宋体"/>
        </w:rPr>
      </w:pPr>
      <w:r>
        <w:rPr>
          <w:rFonts w:hint="eastAsia" w:hAnsi="宋体"/>
        </w:rPr>
        <w:t>日期：</w:t>
      </w:r>
      <w:r>
        <w:rPr>
          <w:rFonts w:hint="eastAsia" w:hAnsi="宋体"/>
          <w:u w:val="single"/>
        </w:rPr>
        <w:t xml:space="preserve">     </w:t>
      </w:r>
      <w:r>
        <w:rPr>
          <w:rFonts w:hint="eastAsia" w:hAnsi="宋体"/>
        </w:rPr>
        <w:t xml:space="preserve"> 年</w:t>
      </w:r>
      <w:r>
        <w:rPr>
          <w:rFonts w:hint="eastAsia" w:hAnsi="宋体"/>
          <w:u w:val="single"/>
        </w:rPr>
        <w:t xml:space="preserve">     </w:t>
      </w:r>
      <w:r>
        <w:rPr>
          <w:rFonts w:hint="eastAsia" w:hAnsi="宋体"/>
        </w:rPr>
        <w:t xml:space="preserve"> 月</w:t>
      </w:r>
      <w:r>
        <w:rPr>
          <w:rFonts w:hint="eastAsia" w:hAnsi="宋体"/>
          <w:u w:val="single"/>
        </w:rPr>
        <w:t xml:space="preserve">     </w:t>
      </w:r>
      <w:r>
        <w:rPr>
          <w:rFonts w:hint="eastAsia" w:hAnsi="宋体"/>
        </w:rPr>
        <w:t xml:space="preserve"> 日</w:t>
      </w:r>
    </w:p>
    <w:p>
      <w:pPr>
        <w:pStyle w:val="4"/>
        <w:rPr>
          <w:rFonts w:hAnsi="宋体"/>
        </w:rPr>
      </w:pPr>
      <w:bookmarkStart w:id="72" w:name="_Toc111371841"/>
      <w:bookmarkStart w:id="73" w:name="_Toc16208"/>
      <w:r>
        <w:rPr>
          <w:rFonts w:hint="eastAsia" w:ascii="宋体" w:hAnsi="宋体" w:eastAsia="宋体"/>
          <w:snapToGrid w:val="0"/>
        </w:rPr>
        <w:t>二、法定代表人资格证明书</w:t>
      </w:r>
      <w:bookmarkEnd w:id="72"/>
      <w:bookmarkEnd w:id="73"/>
    </w:p>
    <w:p>
      <w:pPr>
        <w:pStyle w:val="21"/>
        <w:adjustRightInd w:val="0"/>
        <w:snapToGrid w:val="0"/>
        <w:spacing w:line="360" w:lineRule="auto"/>
        <w:ind w:firstLine="420"/>
        <w:rPr>
          <w:rFonts w:hAnsi="宋体"/>
        </w:rPr>
      </w:pPr>
      <w:r>
        <w:rPr>
          <w:rFonts w:hint="eastAsia" w:hAnsi="宋体"/>
        </w:rPr>
        <w:t>单位名称：</w:t>
      </w:r>
    </w:p>
    <w:p>
      <w:pPr>
        <w:pStyle w:val="21"/>
        <w:adjustRightInd w:val="0"/>
        <w:snapToGrid w:val="0"/>
        <w:spacing w:line="360" w:lineRule="auto"/>
        <w:ind w:firstLine="420"/>
        <w:rPr>
          <w:rFonts w:hAnsi="宋体"/>
        </w:rPr>
      </w:pPr>
      <w:r>
        <w:rPr>
          <w:rFonts w:hint="eastAsia" w:hAnsi="宋体"/>
        </w:rPr>
        <w:t>地址：</w:t>
      </w:r>
    </w:p>
    <w:p>
      <w:pPr>
        <w:pStyle w:val="21"/>
        <w:adjustRightInd w:val="0"/>
        <w:snapToGrid w:val="0"/>
        <w:spacing w:line="360" w:lineRule="auto"/>
        <w:ind w:firstLine="420"/>
        <w:rPr>
          <w:rFonts w:hAnsi="宋体"/>
        </w:rPr>
      </w:pPr>
      <w:r>
        <w:rPr>
          <w:rFonts w:hint="eastAsia" w:hAnsi="宋体"/>
        </w:rPr>
        <w:t>姓名：             性别：          年龄：          职务：</w:t>
      </w:r>
    </w:p>
    <w:p>
      <w:pPr>
        <w:pStyle w:val="21"/>
        <w:adjustRightInd w:val="0"/>
        <w:snapToGrid w:val="0"/>
        <w:spacing w:line="360" w:lineRule="auto"/>
        <w:ind w:left="316" w:leftChars="158" w:firstLine="630" w:firstLineChars="300"/>
        <w:rPr>
          <w:rFonts w:hAnsi="宋体"/>
        </w:rPr>
      </w:pPr>
      <w:r>
        <w:rPr>
          <w:rFonts w:hint="eastAsia" w:hAnsi="宋体"/>
        </w:rPr>
        <w:t>系</w:t>
      </w:r>
      <w:r>
        <w:rPr>
          <w:rFonts w:hint="eastAsia" w:hAnsi="宋体"/>
          <w:u w:val="single"/>
        </w:rPr>
        <w:t xml:space="preserve">                         </w:t>
      </w:r>
      <w:r>
        <w:rPr>
          <w:rFonts w:hint="eastAsia" w:hAnsi="宋体"/>
        </w:rPr>
        <w:t xml:space="preserve"> 的法定代表人。为施工、竣工和保修</w:t>
      </w:r>
      <w:r>
        <w:rPr>
          <w:rFonts w:hint="eastAsia" w:hAnsi="宋体"/>
          <w:u w:val="single"/>
        </w:rPr>
        <w:t xml:space="preserve">        </w:t>
      </w:r>
      <w:r>
        <w:rPr>
          <w:rFonts w:hint="eastAsia" w:hAnsi="宋体"/>
        </w:rPr>
        <w:t>的工程，签署上述工程的投标文件、进行合同谈判、签署合同和处理与之有关的一切事务。</w:t>
      </w:r>
    </w:p>
    <w:p>
      <w:pPr>
        <w:pStyle w:val="21"/>
        <w:adjustRightInd w:val="0"/>
        <w:snapToGrid w:val="0"/>
        <w:spacing w:line="360" w:lineRule="auto"/>
        <w:rPr>
          <w:rFonts w:hAnsi="宋体"/>
        </w:rPr>
      </w:pPr>
    </w:p>
    <w:p>
      <w:pPr>
        <w:pStyle w:val="21"/>
        <w:adjustRightInd w:val="0"/>
        <w:snapToGrid w:val="0"/>
        <w:spacing w:line="360" w:lineRule="auto"/>
        <w:ind w:firstLine="420"/>
        <w:rPr>
          <w:rFonts w:hAnsi="宋体"/>
        </w:rPr>
      </w:pPr>
      <w:r>
        <w:rPr>
          <w:rFonts w:hint="eastAsia" w:hAnsi="宋体"/>
        </w:rPr>
        <w:t>特此证明。</w:t>
      </w:r>
    </w:p>
    <w:p>
      <w:pPr>
        <w:pStyle w:val="21"/>
        <w:adjustRightInd w:val="0"/>
        <w:snapToGrid w:val="0"/>
        <w:spacing w:line="300" w:lineRule="auto"/>
        <w:ind w:left="3000" w:leftChars="1500"/>
        <w:jc w:val="center"/>
        <w:rPr>
          <w:rFonts w:hAnsi="宋体"/>
        </w:rPr>
      </w:pPr>
      <w:r>
        <w:rPr>
          <w:rFonts w:hint="eastAsia" w:hAnsi="宋体"/>
        </w:rPr>
        <w:t xml:space="preserve">       投标人：(盖章)</w:t>
      </w:r>
    </w:p>
    <w:p>
      <w:pPr>
        <w:pStyle w:val="21"/>
        <w:adjustRightInd w:val="0"/>
        <w:snapToGrid w:val="0"/>
        <w:spacing w:line="300" w:lineRule="auto"/>
        <w:ind w:left="3000" w:leftChars="1500"/>
        <w:rPr>
          <w:rFonts w:hAnsi="宋体"/>
        </w:rPr>
      </w:pPr>
    </w:p>
    <w:p>
      <w:pPr>
        <w:pStyle w:val="21"/>
        <w:adjustRightInd w:val="0"/>
        <w:snapToGrid w:val="0"/>
        <w:spacing w:line="300" w:lineRule="auto"/>
        <w:ind w:left="3000" w:leftChars="1500"/>
        <w:jc w:val="center"/>
        <w:rPr>
          <w:rFonts w:hAnsi="宋体"/>
        </w:rPr>
      </w:pPr>
      <w:r>
        <w:rPr>
          <w:rFonts w:hint="eastAsia" w:hAnsi="宋体"/>
        </w:rPr>
        <w:t xml:space="preserve">                        日期：</w:t>
      </w:r>
      <w:r>
        <w:rPr>
          <w:rFonts w:hint="eastAsia" w:hAnsi="宋体"/>
          <w:u w:val="single"/>
        </w:rPr>
        <w:t xml:space="preserve">       </w:t>
      </w:r>
      <w:r>
        <w:rPr>
          <w:rFonts w:hint="eastAsia" w:hAnsi="宋体"/>
        </w:rPr>
        <w:t xml:space="preserve">年 </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 xml:space="preserve">  日</w:t>
      </w:r>
    </w:p>
    <w:p>
      <w:pPr>
        <w:pStyle w:val="21"/>
        <w:adjustRightInd w:val="0"/>
        <w:snapToGrid w:val="0"/>
        <w:spacing w:line="360" w:lineRule="auto"/>
        <w:ind w:left="315" w:leftChars="105" w:hanging="105" w:hangingChars="50"/>
        <w:rPr>
          <w:rFonts w:hAnsi="宋体"/>
        </w:rPr>
      </w:pPr>
      <w:r>
        <w:rPr>
          <w:rFonts w:hint="eastAsia" w:hAnsi="宋体"/>
        </w:rPr>
        <w:t>（注：法定代表人资格证明书亦可用工商局发的法定代表人证的复印件加盖法人单位公章或营业执照复印件加盖法人单位公章证明）</w:t>
      </w:r>
    </w:p>
    <w:p>
      <w:pPr>
        <w:pStyle w:val="21"/>
        <w:adjustRightInd w:val="0"/>
        <w:snapToGrid w:val="0"/>
        <w:spacing w:line="300" w:lineRule="auto"/>
        <w:rPr>
          <w:rFonts w:hAnsi="宋体"/>
          <w:sz w:val="24"/>
          <w:szCs w:val="24"/>
        </w:rPr>
      </w:pPr>
    </w:p>
    <w:p>
      <w:pPr>
        <w:pStyle w:val="4"/>
        <w:rPr>
          <w:rFonts w:hAnsi="宋体"/>
          <w:sz w:val="24"/>
          <w:szCs w:val="24"/>
        </w:rPr>
      </w:pPr>
      <w:bookmarkStart w:id="74" w:name="_Toc111371842"/>
      <w:bookmarkStart w:id="75" w:name="_Toc15427"/>
      <w:r>
        <w:rPr>
          <w:rFonts w:hint="eastAsia" w:ascii="宋体" w:hAnsi="宋体" w:eastAsia="宋体"/>
          <w:snapToGrid w:val="0"/>
        </w:rPr>
        <w:t>三、授权委托书</w:t>
      </w:r>
      <w:bookmarkEnd w:id="74"/>
      <w:bookmarkEnd w:id="75"/>
    </w:p>
    <w:p>
      <w:pPr>
        <w:pStyle w:val="21"/>
        <w:adjustRightInd w:val="0"/>
        <w:snapToGrid w:val="0"/>
        <w:spacing w:line="360" w:lineRule="auto"/>
        <w:ind w:firstLine="630" w:firstLineChars="300"/>
        <w:rPr>
          <w:rFonts w:hAnsi="宋体"/>
        </w:rPr>
      </w:pPr>
      <w:r>
        <w:rPr>
          <w:rFonts w:hint="eastAsia" w:hAnsi="宋体"/>
        </w:rPr>
        <w:t>本授权委托书声明：我</w:t>
      </w:r>
      <w:r>
        <w:rPr>
          <w:rFonts w:hint="eastAsia" w:hAnsi="宋体"/>
          <w:u w:val="single"/>
        </w:rPr>
        <w:t xml:space="preserve">        </w:t>
      </w:r>
      <w:r>
        <w:rPr>
          <w:rFonts w:hint="eastAsia" w:hAnsi="宋体"/>
        </w:rPr>
        <w:t xml:space="preserve"> (姓名)系</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 xml:space="preserve">(投标人名称)的法定代表人，现授权委托 </w:t>
      </w:r>
      <w:r>
        <w:rPr>
          <w:rFonts w:hint="eastAsia" w:hAnsi="宋体"/>
          <w:u w:val="single"/>
        </w:rPr>
        <w:t xml:space="preserve">           </w:t>
      </w:r>
      <w:r>
        <w:rPr>
          <w:rFonts w:hint="eastAsia" w:hAnsi="宋体"/>
        </w:rPr>
        <w:t>（单位名称）的</w:t>
      </w:r>
      <w:r>
        <w:rPr>
          <w:rFonts w:hint="eastAsia" w:hAnsi="宋体"/>
          <w:u w:val="single"/>
        </w:rPr>
        <w:t xml:space="preserve">        </w:t>
      </w:r>
      <w:r>
        <w:rPr>
          <w:rFonts w:hint="eastAsia" w:hAnsi="宋体"/>
        </w:rPr>
        <w:t>(姓名)为我公司代理人，以本公司的名义参加</w:t>
      </w:r>
      <w:r>
        <w:rPr>
          <w:rFonts w:hint="eastAsia" w:hAnsi="宋体"/>
          <w:u w:val="single"/>
        </w:rPr>
        <w:t xml:space="preserve">       </w:t>
      </w:r>
      <w:r>
        <w:rPr>
          <w:rFonts w:hint="eastAsia" w:hAnsi="宋体"/>
        </w:rPr>
        <w:t>(招标人)的</w:t>
      </w:r>
      <w:r>
        <w:rPr>
          <w:rFonts w:hint="eastAsia" w:hAnsi="宋体"/>
          <w:u w:val="single"/>
        </w:rPr>
        <w:t xml:space="preserve">               </w:t>
      </w:r>
      <w:r>
        <w:rPr>
          <w:rFonts w:hint="eastAsia" w:hAnsi="宋体"/>
        </w:rPr>
        <w:t>工程的投标活动。代理人在开标、评标、合同谈判过程中所签署的一切文件和处理与之有关的一切事务，我均予以承认。</w:t>
      </w:r>
    </w:p>
    <w:p>
      <w:pPr>
        <w:pStyle w:val="21"/>
        <w:adjustRightInd w:val="0"/>
        <w:snapToGrid w:val="0"/>
        <w:spacing w:line="360" w:lineRule="auto"/>
        <w:ind w:left="420" w:leftChars="210"/>
        <w:rPr>
          <w:rFonts w:hAnsi="宋体"/>
        </w:rPr>
      </w:pPr>
      <w:r>
        <w:rPr>
          <w:rFonts w:hint="eastAsia" w:hAnsi="宋体"/>
        </w:rPr>
        <w:t>代理人无转委权。特此委托。</w:t>
      </w:r>
      <w:r>
        <w:rPr>
          <w:rFonts w:hint="eastAsia" w:hAnsi="宋体"/>
        </w:rPr>
        <w:cr/>
      </w:r>
      <w:r>
        <w:rPr>
          <w:rFonts w:hint="eastAsia" w:hAnsi="宋体"/>
        </w:rPr>
        <w:t>代理人：          性 别：                 年 龄：</w:t>
      </w:r>
    </w:p>
    <w:p>
      <w:pPr>
        <w:pStyle w:val="21"/>
        <w:adjustRightInd w:val="0"/>
        <w:snapToGrid w:val="0"/>
        <w:spacing w:line="360" w:lineRule="auto"/>
        <w:ind w:firstLine="420"/>
        <w:rPr>
          <w:rFonts w:hAnsi="宋体"/>
        </w:rPr>
      </w:pPr>
      <w:r>
        <w:rPr>
          <w:rFonts w:hint="eastAsia" w:hAnsi="宋体"/>
        </w:rPr>
        <w:t>单  位：          部 门：                 职 务：</w:t>
      </w:r>
    </w:p>
    <w:p>
      <w:pPr>
        <w:pStyle w:val="21"/>
        <w:adjustRightInd w:val="0"/>
        <w:snapToGrid w:val="0"/>
        <w:spacing w:line="360" w:lineRule="auto"/>
        <w:ind w:firstLine="420"/>
        <w:rPr>
          <w:rFonts w:hAnsi="宋体"/>
        </w:rPr>
      </w:pPr>
      <w:r>
        <w:rPr>
          <w:rFonts w:hint="eastAsia" w:hAnsi="宋体"/>
        </w:rPr>
        <w:t>投标人：(盖章)</w:t>
      </w:r>
    </w:p>
    <w:p>
      <w:pPr>
        <w:pStyle w:val="21"/>
        <w:adjustRightInd w:val="0"/>
        <w:snapToGrid w:val="0"/>
        <w:spacing w:line="360" w:lineRule="auto"/>
        <w:ind w:firstLine="420"/>
        <w:rPr>
          <w:rFonts w:hAnsi="宋体"/>
        </w:rPr>
      </w:pPr>
      <w:r>
        <w:rPr>
          <w:rFonts w:hint="eastAsia" w:hAnsi="宋体"/>
        </w:rPr>
        <w:t>法定代表人：(签字或盖章)</w:t>
      </w:r>
    </w:p>
    <w:p>
      <w:pPr>
        <w:pStyle w:val="21"/>
        <w:adjustRightInd w:val="0"/>
        <w:snapToGrid w:val="0"/>
        <w:spacing w:line="300" w:lineRule="auto"/>
        <w:jc w:val="right"/>
        <w:rPr>
          <w:rFonts w:hAnsi="宋体"/>
        </w:rPr>
      </w:pPr>
      <w:r>
        <w:rPr>
          <w:rFonts w:hint="eastAsia" w:hAnsi="宋体"/>
        </w:rPr>
        <w:t>日期：     年     月    日</w:t>
      </w:r>
    </w:p>
    <w:p>
      <w:pPr>
        <w:pStyle w:val="4"/>
        <w:rPr>
          <w:rFonts w:ascii="宋体" w:hAnsi="宋体" w:eastAsia="宋体"/>
          <w:snapToGrid w:val="0"/>
        </w:rPr>
      </w:pPr>
      <w:bookmarkStart w:id="76" w:name="_Toc31983"/>
      <w:r>
        <w:rPr>
          <w:rFonts w:hint="eastAsia" w:ascii="宋体" w:hAnsi="宋体" w:eastAsia="宋体"/>
          <w:snapToGrid w:val="0"/>
        </w:rPr>
        <w:t>四、投标报价</w:t>
      </w:r>
      <w:bookmarkEnd w:id="76"/>
    </w:p>
    <w:p>
      <w:pPr>
        <w:pStyle w:val="21"/>
        <w:spacing w:line="360" w:lineRule="auto"/>
        <w:jc w:val="left"/>
        <w:rPr>
          <w:rFonts w:ascii="Times New Roman" w:hAnsi="Times New Roman"/>
          <w:sz w:val="24"/>
        </w:rPr>
      </w:pPr>
      <w:bookmarkStart w:id="77" w:name="_Toc111371844"/>
      <w:r>
        <w:rPr>
          <w:rFonts w:hint="eastAsia" w:ascii="Times New Roman" w:hAnsi="Times New Roman"/>
          <w:sz w:val="24"/>
        </w:rPr>
        <w:t>按2013计价规范及江苏省相关规定要求提供</w:t>
      </w:r>
    </w:p>
    <w:p>
      <w:pPr>
        <w:rPr>
          <w:rFonts w:ascii="宋体" w:hAnsi="宋体" w:eastAsia="宋体"/>
          <w:b/>
          <w:snapToGrid w:val="0"/>
          <w:kern w:val="2"/>
          <w:sz w:val="32"/>
        </w:rPr>
      </w:pPr>
    </w:p>
    <w:p>
      <w:pPr>
        <w:rPr>
          <w:rFonts w:ascii="宋体" w:hAnsi="宋体" w:eastAsia="宋体"/>
          <w:b/>
          <w:snapToGrid w:val="0"/>
          <w:kern w:val="2"/>
          <w:sz w:val="32"/>
        </w:rPr>
      </w:pPr>
    </w:p>
    <w:p>
      <w:pPr>
        <w:pStyle w:val="4"/>
        <w:rPr>
          <w:rFonts w:ascii="宋体" w:hAnsi="宋体" w:eastAsia="宋体"/>
          <w:snapToGrid w:val="0"/>
        </w:rPr>
      </w:pPr>
      <w:bookmarkStart w:id="78" w:name="_Toc14669"/>
      <w:r>
        <w:rPr>
          <w:rFonts w:hint="eastAsia" w:ascii="宋体" w:hAnsi="宋体" w:eastAsia="宋体"/>
          <w:snapToGrid w:val="0"/>
        </w:rPr>
        <w:t>五、辅助资料表</w:t>
      </w:r>
      <w:bookmarkEnd w:id="77"/>
      <w:bookmarkEnd w:id="78"/>
    </w:p>
    <w:p>
      <w:pPr>
        <w:jc w:val="center"/>
        <w:rPr>
          <w:sz w:val="32"/>
          <w:szCs w:val="32"/>
        </w:rPr>
      </w:pPr>
      <w:r>
        <w:rPr>
          <w:rFonts w:hint="eastAsia"/>
          <w:sz w:val="32"/>
          <w:szCs w:val="32"/>
        </w:rPr>
        <w:t>表5.1   承包人自行采购主要材料清单</w:t>
      </w:r>
    </w:p>
    <w:p>
      <w:pPr>
        <w:rPr>
          <w:rFonts w:ascii="宋体" w:hAnsi="宋体"/>
          <w:sz w:val="24"/>
          <w:szCs w:val="24"/>
        </w:rPr>
      </w:pPr>
    </w:p>
    <w:tbl>
      <w:tblPr>
        <w:tblStyle w:val="40"/>
        <w:tblW w:w="990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417"/>
        <w:gridCol w:w="1134"/>
        <w:gridCol w:w="1701"/>
        <w:gridCol w:w="1134"/>
        <w:gridCol w:w="1276"/>
        <w:gridCol w:w="85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序号</w:t>
            </w:r>
          </w:p>
        </w:tc>
        <w:tc>
          <w:tcPr>
            <w:tcW w:w="1417"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材料名称</w:t>
            </w:r>
          </w:p>
        </w:tc>
        <w:tc>
          <w:tcPr>
            <w:tcW w:w="1134"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规格</w:t>
            </w:r>
          </w:p>
        </w:tc>
        <w:tc>
          <w:tcPr>
            <w:tcW w:w="1701"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品牌</w:t>
            </w:r>
          </w:p>
        </w:tc>
        <w:tc>
          <w:tcPr>
            <w:tcW w:w="1134"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单位</w:t>
            </w:r>
          </w:p>
        </w:tc>
        <w:tc>
          <w:tcPr>
            <w:tcW w:w="1276"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数量</w:t>
            </w:r>
          </w:p>
        </w:tc>
        <w:tc>
          <w:tcPr>
            <w:tcW w:w="851"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单价</w:t>
            </w:r>
          </w:p>
        </w:tc>
        <w:tc>
          <w:tcPr>
            <w:tcW w:w="1336" w:type="dxa"/>
            <w:vAlign w:val="center"/>
          </w:tcPr>
          <w:p>
            <w:pPr>
              <w:widowControl w:val="0"/>
              <w:adjustRightInd w:val="0"/>
              <w:snapToGrid w:val="0"/>
              <w:spacing w:line="300" w:lineRule="auto"/>
              <w:jc w:val="center"/>
              <w:rPr>
                <w:rFonts w:ascii="宋体" w:hAnsi="宋体"/>
                <w:kern w:val="2"/>
                <w:sz w:val="21"/>
              </w:rPr>
            </w:pPr>
            <w:r>
              <w:rPr>
                <w:rFonts w:hint="eastAsia" w:ascii="宋体" w:hAnsi="宋体"/>
                <w:kern w:val="2"/>
                <w:sz w:val="21"/>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p>
        </w:tc>
        <w:tc>
          <w:tcPr>
            <w:tcW w:w="1417"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701"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276" w:type="dxa"/>
            <w:vAlign w:val="center"/>
          </w:tcPr>
          <w:p>
            <w:pPr>
              <w:widowControl w:val="0"/>
              <w:adjustRightInd w:val="0"/>
              <w:snapToGrid w:val="0"/>
              <w:spacing w:line="300" w:lineRule="auto"/>
              <w:jc w:val="center"/>
              <w:rPr>
                <w:rFonts w:ascii="宋体" w:hAnsi="宋体"/>
                <w:kern w:val="2"/>
                <w:sz w:val="21"/>
              </w:rPr>
            </w:pPr>
          </w:p>
        </w:tc>
        <w:tc>
          <w:tcPr>
            <w:tcW w:w="851" w:type="dxa"/>
            <w:vAlign w:val="center"/>
          </w:tcPr>
          <w:p>
            <w:pPr>
              <w:widowControl w:val="0"/>
              <w:adjustRightInd w:val="0"/>
              <w:snapToGrid w:val="0"/>
              <w:spacing w:line="300" w:lineRule="auto"/>
              <w:jc w:val="center"/>
              <w:rPr>
                <w:rFonts w:ascii="宋体" w:hAnsi="宋体"/>
                <w:kern w:val="2"/>
                <w:sz w:val="21"/>
              </w:rPr>
            </w:pPr>
          </w:p>
        </w:tc>
        <w:tc>
          <w:tcPr>
            <w:tcW w:w="1336" w:type="dxa"/>
            <w:vAlign w:val="center"/>
          </w:tcPr>
          <w:p>
            <w:pPr>
              <w:widowControl w:val="0"/>
              <w:adjustRightInd w:val="0"/>
              <w:snapToGrid w:val="0"/>
              <w:spacing w:line="300" w:lineRule="auto"/>
              <w:jc w:val="center"/>
              <w:rPr>
                <w:rFonts w:ascii="宋体"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p>
        </w:tc>
        <w:tc>
          <w:tcPr>
            <w:tcW w:w="1417"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701"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276" w:type="dxa"/>
            <w:vAlign w:val="center"/>
          </w:tcPr>
          <w:p>
            <w:pPr>
              <w:widowControl w:val="0"/>
              <w:adjustRightInd w:val="0"/>
              <w:snapToGrid w:val="0"/>
              <w:spacing w:line="300" w:lineRule="auto"/>
              <w:jc w:val="center"/>
              <w:rPr>
                <w:rFonts w:ascii="宋体" w:hAnsi="宋体"/>
                <w:kern w:val="2"/>
                <w:sz w:val="21"/>
              </w:rPr>
            </w:pPr>
          </w:p>
        </w:tc>
        <w:tc>
          <w:tcPr>
            <w:tcW w:w="851" w:type="dxa"/>
            <w:vAlign w:val="center"/>
          </w:tcPr>
          <w:p>
            <w:pPr>
              <w:widowControl w:val="0"/>
              <w:adjustRightInd w:val="0"/>
              <w:snapToGrid w:val="0"/>
              <w:spacing w:line="300" w:lineRule="auto"/>
              <w:jc w:val="center"/>
              <w:rPr>
                <w:rFonts w:ascii="宋体" w:hAnsi="宋体"/>
                <w:kern w:val="2"/>
                <w:sz w:val="21"/>
              </w:rPr>
            </w:pPr>
          </w:p>
        </w:tc>
        <w:tc>
          <w:tcPr>
            <w:tcW w:w="1336" w:type="dxa"/>
            <w:vAlign w:val="center"/>
          </w:tcPr>
          <w:p>
            <w:pPr>
              <w:widowControl w:val="0"/>
              <w:adjustRightInd w:val="0"/>
              <w:snapToGrid w:val="0"/>
              <w:spacing w:line="300" w:lineRule="auto"/>
              <w:jc w:val="center"/>
              <w:rPr>
                <w:rFonts w:ascii="宋体"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p>
        </w:tc>
        <w:tc>
          <w:tcPr>
            <w:tcW w:w="1417"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701"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276" w:type="dxa"/>
            <w:vAlign w:val="center"/>
          </w:tcPr>
          <w:p>
            <w:pPr>
              <w:widowControl w:val="0"/>
              <w:adjustRightInd w:val="0"/>
              <w:snapToGrid w:val="0"/>
              <w:spacing w:line="300" w:lineRule="auto"/>
              <w:jc w:val="center"/>
              <w:rPr>
                <w:rFonts w:ascii="宋体" w:hAnsi="宋体"/>
                <w:kern w:val="2"/>
                <w:sz w:val="21"/>
              </w:rPr>
            </w:pPr>
          </w:p>
        </w:tc>
        <w:tc>
          <w:tcPr>
            <w:tcW w:w="851" w:type="dxa"/>
            <w:vAlign w:val="center"/>
          </w:tcPr>
          <w:p>
            <w:pPr>
              <w:widowControl w:val="0"/>
              <w:adjustRightInd w:val="0"/>
              <w:snapToGrid w:val="0"/>
              <w:spacing w:line="300" w:lineRule="auto"/>
              <w:jc w:val="center"/>
              <w:rPr>
                <w:rFonts w:ascii="宋体" w:hAnsi="宋体"/>
                <w:kern w:val="2"/>
                <w:sz w:val="21"/>
              </w:rPr>
            </w:pPr>
          </w:p>
        </w:tc>
        <w:tc>
          <w:tcPr>
            <w:tcW w:w="1336" w:type="dxa"/>
            <w:vAlign w:val="center"/>
          </w:tcPr>
          <w:p>
            <w:pPr>
              <w:widowControl w:val="0"/>
              <w:adjustRightInd w:val="0"/>
              <w:snapToGrid w:val="0"/>
              <w:spacing w:line="300" w:lineRule="auto"/>
              <w:jc w:val="center"/>
              <w:rPr>
                <w:rFonts w:ascii="宋体"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p>
        </w:tc>
        <w:tc>
          <w:tcPr>
            <w:tcW w:w="1417"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701"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276" w:type="dxa"/>
            <w:vAlign w:val="center"/>
          </w:tcPr>
          <w:p>
            <w:pPr>
              <w:widowControl w:val="0"/>
              <w:adjustRightInd w:val="0"/>
              <w:snapToGrid w:val="0"/>
              <w:spacing w:line="300" w:lineRule="auto"/>
              <w:jc w:val="center"/>
              <w:rPr>
                <w:rFonts w:ascii="宋体" w:hAnsi="宋体"/>
                <w:kern w:val="2"/>
                <w:sz w:val="21"/>
              </w:rPr>
            </w:pPr>
          </w:p>
        </w:tc>
        <w:tc>
          <w:tcPr>
            <w:tcW w:w="851" w:type="dxa"/>
            <w:vAlign w:val="center"/>
          </w:tcPr>
          <w:p>
            <w:pPr>
              <w:widowControl w:val="0"/>
              <w:adjustRightInd w:val="0"/>
              <w:snapToGrid w:val="0"/>
              <w:spacing w:line="300" w:lineRule="auto"/>
              <w:jc w:val="center"/>
              <w:rPr>
                <w:rFonts w:ascii="宋体" w:hAnsi="宋体"/>
                <w:kern w:val="2"/>
                <w:sz w:val="21"/>
              </w:rPr>
            </w:pPr>
          </w:p>
        </w:tc>
        <w:tc>
          <w:tcPr>
            <w:tcW w:w="1336" w:type="dxa"/>
            <w:vAlign w:val="center"/>
          </w:tcPr>
          <w:p>
            <w:pPr>
              <w:widowControl w:val="0"/>
              <w:adjustRightInd w:val="0"/>
              <w:snapToGrid w:val="0"/>
              <w:spacing w:line="300" w:lineRule="auto"/>
              <w:jc w:val="center"/>
              <w:rPr>
                <w:rFonts w:ascii="宋体"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p>
        </w:tc>
        <w:tc>
          <w:tcPr>
            <w:tcW w:w="1417"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701"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276" w:type="dxa"/>
            <w:vAlign w:val="center"/>
          </w:tcPr>
          <w:p>
            <w:pPr>
              <w:widowControl w:val="0"/>
              <w:adjustRightInd w:val="0"/>
              <w:snapToGrid w:val="0"/>
              <w:spacing w:line="300" w:lineRule="auto"/>
              <w:jc w:val="center"/>
              <w:rPr>
                <w:rFonts w:ascii="宋体" w:hAnsi="宋体"/>
                <w:kern w:val="2"/>
                <w:sz w:val="21"/>
              </w:rPr>
            </w:pPr>
          </w:p>
        </w:tc>
        <w:tc>
          <w:tcPr>
            <w:tcW w:w="851" w:type="dxa"/>
            <w:vAlign w:val="center"/>
          </w:tcPr>
          <w:p>
            <w:pPr>
              <w:widowControl w:val="0"/>
              <w:adjustRightInd w:val="0"/>
              <w:snapToGrid w:val="0"/>
              <w:spacing w:line="300" w:lineRule="auto"/>
              <w:jc w:val="center"/>
              <w:rPr>
                <w:rFonts w:ascii="宋体" w:hAnsi="宋体"/>
                <w:kern w:val="2"/>
                <w:sz w:val="21"/>
              </w:rPr>
            </w:pPr>
          </w:p>
        </w:tc>
        <w:tc>
          <w:tcPr>
            <w:tcW w:w="1336" w:type="dxa"/>
            <w:vAlign w:val="center"/>
          </w:tcPr>
          <w:p>
            <w:pPr>
              <w:widowControl w:val="0"/>
              <w:adjustRightInd w:val="0"/>
              <w:snapToGrid w:val="0"/>
              <w:spacing w:line="300" w:lineRule="auto"/>
              <w:jc w:val="center"/>
              <w:rPr>
                <w:rFonts w:ascii="宋体"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p>
        </w:tc>
        <w:tc>
          <w:tcPr>
            <w:tcW w:w="1417"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701"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276" w:type="dxa"/>
            <w:vAlign w:val="center"/>
          </w:tcPr>
          <w:p>
            <w:pPr>
              <w:widowControl w:val="0"/>
              <w:adjustRightInd w:val="0"/>
              <w:snapToGrid w:val="0"/>
              <w:spacing w:line="300" w:lineRule="auto"/>
              <w:jc w:val="center"/>
              <w:rPr>
                <w:rFonts w:ascii="宋体" w:hAnsi="宋体"/>
                <w:kern w:val="2"/>
                <w:sz w:val="21"/>
              </w:rPr>
            </w:pPr>
          </w:p>
        </w:tc>
        <w:tc>
          <w:tcPr>
            <w:tcW w:w="851" w:type="dxa"/>
            <w:vAlign w:val="center"/>
          </w:tcPr>
          <w:p>
            <w:pPr>
              <w:widowControl w:val="0"/>
              <w:adjustRightInd w:val="0"/>
              <w:snapToGrid w:val="0"/>
              <w:spacing w:line="300" w:lineRule="auto"/>
              <w:jc w:val="center"/>
              <w:rPr>
                <w:rFonts w:ascii="宋体" w:hAnsi="宋体"/>
                <w:kern w:val="2"/>
                <w:sz w:val="21"/>
              </w:rPr>
            </w:pPr>
          </w:p>
        </w:tc>
        <w:tc>
          <w:tcPr>
            <w:tcW w:w="1336" w:type="dxa"/>
            <w:vAlign w:val="center"/>
          </w:tcPr>
          <w:p>
            <w:pPr>
              <w:widowControl w:val="0"/>
              <w:adjustRightInd w:val="0"/>
              <w:snapToGrid w:val="0"/>
              <w:spacing w:line="300" w:lineRule="auto"/>
              <w:jc w:val="center"/>
              <w:rPr>
                <w:rFonts w:ascii="宋体"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rPr>
            </w:pPr>
          </w:p>
        </w:tc>
        <w:tc>
          <w:tcPr>
            <w:tcW w:w="1417"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701" w:type="dxa"/>
            <w:vAlign w:val="center"/>
          </w:tcPr>
          <w:p>
            <w:pPr>
              <w:widowControl w:val="0"/>
              <w:adjustRightInd w:val="0"/>
              <w:snapToGrid w:val="0"/>
              <w:spacing w:line="300" w:lineRule="auto"/>
              <w:jc w:val="center"/>
              <w:rPr>
                <w:rFonts w:ascii="宋体" w:hAnsi="宋体"/>
                <w:kern w:val="2"/>
                <w:sz w:val="21"/>
              </w:rPr>
            </w:pPr>
          </w:p>
        </w:tc>
        <w:tc>
          <w:tcPr>
            <w:tcW w:w="1134" w:type="dxa"/>
            <w:vAlign w:val="center"/>
          </w:tcPr>
          <w:p>
            <w:pPr>
              <w:widowControl w:val="0"/>
              <w:adjustRightInd w:val="0"/>
              <w:snapToGrid w:val="0"/>
              <w:spacing w:line="300" w:lineRule="auto"/>
              <w:jc w:val="center"/>
              <w:rPr>
                <w:rFonts w:ascii="宋体" w:hAnsi="宋体"/>
                <w:kern w:val="2"/>
                <w:sz w:val="21"/>
              </w:rPr>
            </w:pPr>
          </w:p>
        </w:tc>
        <w:tc>
          <w:tcPr>
            <w:tcW w:w="1276" w:type="dxa"/>
            <w:vAlign w:val="center"/>
          </w:tcPr>
          <w:p>
            <w:pPr>
              <w:widowControl w:val="0"/>
              <w:adjustRightInd w:val="0"/>
              <w:snapToGrid w:val="0"/>
              <w:spacing w:line="300" w:lineRule="auto"/>
              <w:jc w:val="center"/>
              <w:rPr>
                <w:rFonts w:ascii="宋体" w:hAnsi="宋体"/>
                <w:kern w:val="2"/>
                <w:sz w:val="21"/>
              </w:rPr>
            </w:pPr>
          </w:p>
        </w:tc>
        <w:tc>
          <w:tcPr>
            <w:tcW w:w="851" w:type="dxa"/>
            <w:vAlign w:val="center"/>
          </w:tcPr>
          <w:p>
            <w:pPr>
              <w:widowControl w:val="0"/>
              <w:adjustRightInd w:val="0"/>
              <w:snapToGrid w:val="0"/>
              <w:spacing w:line="300" w:lineRule="auto"/>
              <w:jc w:val="center"/>
              <w:rPr>
                <w:rFonts w:ascii="宋体" w:hAnsi="宋体"/>
                <w:kern w:val="2"/>
                <w:sz w:val="21"/>
              </w:rPr>
            </w:pPr>
          </w:p>
        </w:tc>
        <w:tc>
          <w:tcPr>
            <w:tcW w:w="1336" w:type="dxa"/>
            <w:vAlign w:val="center"/>
          </w:tcPr>
          <w:p>
            <w:pPr>
              <w:widowControl w:val="0"/>
              <w:adjustRightInd w:val="0"/>
              <w:snapToGrid w:val="0"/>
              <w:spacing w:line="300" w:lineRule="auto"/>
              <w:jc w:val="center"/>
              <w:rPr>
                <w:rFonts w:ascii="宋体" w:hAnsi="宋体"/>
                <w:kern w:val="2"/>
                <w:sz w:val="21"/>
              </w:rPr>
            </w:pPr>
          </w:p>
        </w:tc>
      </w:tr>
    </w:tbl>
    <w:p>
      <w:pPr>
        <w:rPr>
          <w:sz w:val="32"/>
          <w:szCs w:val="32"/>
        </w:rPr>
      </w:pPr>
      <w:r>
        <w:rPr>
          <w:rFonts w:hint="eastAsia" w:ascii="Times New Roman" w:hAnsi="Times New Roman" w:eastAsia="黑体"/>
          <w:sz w:val="24"/>
          <w:szCs w:val="24"/>
        </w:rPr>
        <w:t>注：未按要求填写可视为废标</w:t>
      </w:r>
    </w:p>
    <w:p>
      <w:pPr>
        <w:jc w:val="center"/>
        <w:rPr>
          <w:sz w:val="32"/>
          <w:szCs w:val="32"/>
        </w:rPr>
      </w:pPr>
    </w:p>
    <w:p>
      <w:pPr>
        <w:jc w:val="center"/>
        <w:rPr>
          <w:sz w:val="32"/>
          <w:szCs w:val="32"/>
        </w:rPr>
      </w:pPr>
      <w:r>
        <w:rPr>
          <w:rFonts w:hint="eastAsia"/>
          <w:sz w:val="32"/>
          <w:szCs w:val="32"/>
        </w:rPr>
        <w:t>表5.2   项目负责人简历及企业业绩表</w:t>
      </w:r>
    </w:p>
    <w:p>
      <w:pPr>
        <w:rPr>
          <w:rFonts w:ascii="宋体" w:hAnsi="宋体"/>
          <w:sz w:val="24"/>
          <w:szCs w:val="24"/>
        </w:rPr>
      </w:pPr>
    </w:p>
    <w:tbl>
      <w:tblPr>
        <w:tblStyle w:val="40"/>
        <w:tblW w:w="990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635"/>
        <w:gridCol w:w="381"/>
        <w:gridCol w:w="562"/>
        <w:gridCol w:w="572"/>
        <w:gridCol w:w="649"/>
        <w:gridCol w:w="258"/>
        <w:gridCol w:w="794"/>
        <w:gridCol w:w="529"/>
        <w:gridCol w:w="605"/>
        <w:gridCol w:w="437"/>
        <w:gridCol w:w="589"/>
        <w:gridCol w:w="250"/>
        <w:gridCol w:w="85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52" w:type="dxa"/>
            <w:vAlign w:val="center"/>
          </w:tcPr>
          <w:p>
            <w:pPr>
              <w:pStyle w:val="21"/>
              <w:adjustRightInd w:val="0"/>
              <w:snapToGrid w:val="0"/>
              <w:spacing w:line="300" w:lineRule="auto"/>
              <w:jc w:val="center"/>
              <w:rPr>
                <w:rFonts w:hAnsi="宋体"/>
              </w:rPr>
            </w:pPr>
            <w:r>
              <w:rPr>
                <w:rFonts w:hint="eastAsia" w:hAnsi="宋体"/>
              </w:rPr>
              <w:t>姓名</w:t>
            </w:r>
          </w:p>
        </w:tc>
        <w:tc>
          <w:tcPr>
            <w:tcW w:w="1578" w:type="dxa"/>
            <w:gridSpan w:val="3"/>
            <w:vAlign w:val="center"/>
          </w:tcPr>
          <w:p>
            <w:pPr>
              <w:pStyle w:val="21"/>
              <w:adjustRightInd w:val="0"/>
              <w:snapToGrid w:val="0"/>
              <w:spacing w:line="300" w:lineRule="auto"/>
              <w:jc w:val="center"/>
              <w:rPr>
                <w:rFonts w:hAnsi="宋体"/>
              </w:rPr>
            </w:pPr>
          </w:p>
        </w:tc>
        <w:tc>
          <w:tcPr>
            <w:tcW w:w="1479" w:type="dxa"/>
            <w:gridSpan w:val="3"/>
            <w:vAlign w:val="center"/>
          </w:tcPr>
          <w:p>
            <w:pPr>
              <w:pStyle w:val="21"/>
              <w:adjustRightInd w:val="0"/>
              <w:snapToGrid w:val="0"/>
              <w:spacing w:line="300" w:lineRule="auto"/>
              <w:jc w:val="center"/>
              <w:rPr>
                <w:rFonts w:hAnsi="宋体"/>
              </w:rPr>
            </w:pPr>
            <w:r>
              <w:rPr>
                <w:rFonts w:hint="eastAsia" w:hAnsi="宋体"/>
              </w:rPr>
              <w:t>性别</w:t>
            </w:r>
          </w:p>
        </w:tc>
        <w:tc>
          <w:tcPr>
            <w:tcW w:w="1323" w:type="dxa"/>
            <w:gridSpan w:val="2"/>
            <w:vAlign w:val="center"/>
          </w:tcPr>
          <w:p>
            <w:pPr>
              <w:pStyle w:val="21"/>
              <w:adjustRightInd w:val="0"/>
              <w:snapToGrid w:val="0"/>
              <w:spacing w:line="300" w:lineRule="auto"/>
              <w:jc w:val="center"/>
              <w:rPr>
                <w:rFonts w:hAnsi="宋体"/>
              </w:rPr>
            </w:pPr>
          </w:p>
        </w:tc>
        <w:tc>
          <w:tcPr>
            <w:tcW w:w="1631" w:type="dxa"/>
            <w:gridSpan w:val="3"/>
            <w:vAlign w:val="center"/>
          </w:tcPr>
          <w:p>
            <w:pPr>
              <w:pStyle w:val="21"/>
              <w:adjustRightInd w:val="0"/>
              <w:snapToGrid w:val="0"/>
              <w:spacing w:line="300" w:lineRule="auto"/>
              <w:jc w:val="center"/>
              <w:rPr>
                <w:rFonts w:hAnsi="宋体"/>
              </w:rPr>
            </w:pPr>
            <w:r>
              <w:rPr>
                <w:rFonts w:hint="eastAsia" w:hAnsi="宋体"/>
              </w:rPr>
              <w:t>年龄</w:t>
            </w:r>
          </w:p>
        </w:tc>
        <w:tc>
          <w:tcPr>
            <w:tcW w:w="2437" w:type="dxa"/>
            <w:gridSpan w:val="3"/>
            <w:vAlign w:val="center"/>
          </w:tcPr>
          <w:p>
            <w:pPr>
              <w:pStyle w:val="21"/>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52" w:type="dxa"/>
            <w:vAlign w:val="center"/>
          </w:tcPr>
          <w:p>
            <w:pPr>
              <w:pStyle w:val="21"/>
              <w:adjustRightInd w:val="0"/>
              <w:snapToGrid w:val="0"/>
              <w:spacing w:line="300" w:lineRule="auto"/>
              <w:jc w:val="center"/>
              <w:rPr>
                <w:rFonts w:hAnsi="宋体"/>
              </w:rPr>
            </w:pPr>
            <w:r>
              <w:rPr>
                <w:rFonts w:hint="eastAsia" w:hAnsi="宋体"/>
              </w:rPr>
              <w:t>职务</w:t>
            </w:r>
          </w:p>
        </w:tc>
        <w:tc>
          <w:tcPr>
            <w:tcW w:w="1578" w:type="dxa"/>
            <w:gridSpan w:val="3"/>
            <w:vAlign w:val="center"/>
          </w:tcPr>
          <w:p>
            <w:pPr>
              <w:pStyle w:val="21"/>
              <w:adjustRightInd w:val="0"/>
              <w:snapToGrid w:val="0"/>
              <w:spacing w:line="300" w:lineRule="auto"/>
              <w:jc w:val="center"/>
              <w:rPr>
                <w:rFonts w:hAnsi="宋体"/>
              </w:rPr>
            </w:pPr>
          </w:p>
        </w:tc>
        <w:tc>
          <w:tcPr>
            <w:tcW w:w="1479" w:type="dxa"/>
            <w:gridSpan w:val="3"/>
            <w:vAlign w:val="center"/>
          </w:tcPr>
          <w:p>
            <w:pPr>
              <w:pStyle w:val="21"/>
              <w:adjustRightInd w:val="0"/>
              <w:snapToGrid w:val="0"/>
              <w:spacing w:line="300" w:lineRule="auto"/>
              <w:jc w:val="center"/>
              <w:rPr>
                <w:rFonts w:hAnsi="宋体"/>
              </w:rPr>
            </w:pPr>
            <w:r>
              <w:rPr>
                <w:rFonts w:hint="eastAsia" w:hAnsi="宋体"/>
              </w:rPr>
              <w:t>职称</w:t>
            </w:r>
          </w:p>
        </w:tc>
        <w:tc>
          <w:tcPr>
            <w:tcW w:w="1323" w:type="dxa"/>
            <w:gridSpan w:val="2"/>
            <w:vAlign w:val="center"/>
          </w:tcPr>
          <w:p>
            <w:pPr>
              <w:pStyle w:val="21"/>
              <w:adjustRightInd w:val="0"/>
              <w:snapToGrid w:val="0"/>
              <w:spacing w:line="300" w:lineRule="auto"/>
              <w:jc w:val="center"/>
              <w:rPr>
                <w:rFonts w:hAnsi="宋体"/>
              </w:rPr>
            </w:pPr>
          </w:p>
        </w:tc>
        <w:tc>
          <w:tcPr>
            <w:tcW w:w="1631" w:type="dxa"/>
            <w:gridSpan w:val="3"/>
            <w:vAlign w:val="center"/>
          </w:tcPr>
          <w:p>
            <w:pPr>
              <w:pStyle w:val="21"/>
              <w:adjustRightInd w:val="0"/>
              <w:snapToGrid w:val="0"/>
              <w:spacing w:line="300" w:lineRule="auto"/>
              <w:jc w:val="center"/>
              <w:rPr>
                <w:rFonts w:hAnsi="宋体"/>
              </w:rPr>
            </w:pPr>
            <w:r>
              <w:rPr>
                <w:rFonts w:hint="eastAsia" w:hAnsi="宋体"/>
              </w:rPr>
              <w:t>学历</w:t>
            </w:r>
          </w:p>
        </w:tc>
        <w:tc>
          <w:tcPr>
            <w:tcW w:w="2437" w:type="dxa"/>
            <w:gridSpan w:val="3"/>
            <w:vAlign w:val="center"/>
          </w:tcPr>
          <w:p>
            <w:pPr>
              <w:pStyle w:val="21"/>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087" w:type="dxa"/>
            <w:gridSpan w:val="2"/>
            <w:vAlign w:val="center"/>
          </w:tcPr>
          <w:p>
            <w:pPr>
              <w:pStyle w:val="21"/>
              <w:adjustRightInd w:val="0"/>
              <w:snapToGrid w:val="0"/>
              <w:spacing w:line="300" w:lineRule="auto"/>
              <w:jc w:val="center"/>
              <w:rPr>
                <w:rFonts w:hAnsi="宋体"/>
              </w:rPr>
            </w:pPr>
            <w:r>
              <w:rPr>
                <w:rFonts w:hint="eastAsia" w:hAnsi="宋体"/>
              </w:rPr>
              <w:t>参加工作时间</w:t>
            </w:r>
          </w:p>
        </w:tc>
        <w:tc>
          <w:tcPr>
            <w:tcW w:w="2164" w:type="dxa"/>
            <w:gridSpan w:val="4"/>
            <w:vAlign w:val="center"/>
          </w:tcPr>
          <w:p>
            <w:pPr>
              <w:pStyle w:val="21"/>
              <w:adjustRightInd w:val="0"/>
              <w:snapToGrid w:val="0"/>
              <w:spacing w:line="300" w:lineRule="auto"/>
              <w:jc w:val="center"/>
              <w:rPr>
                <w:rFonts w:hAnsi="宋体"/>
              </w:rPr>
            </w:pPr>
          </w:p>
        </w:tc>
        <w:tc>
          <w:tcPr>
            <w:tcW w:w="2623" w:type="dxa"/>
            <w:gridSpan w:val="5"/>
            <w:vAlign w:val="center"/>
          </w:tcPr>
          <w:p>
            <w:pPr>
              <w:pStyle w:val="21"/>
              <w:adjustRightInd w:val="0"/>
              <w:snapToGrid w:val="0"/>
              <w:spacing w:line="300" w:lineRule="auto"/>
              <w:jc w:val="center"/>
              <w:rPr>
                <w:rFonts w:hAnsi="宋体"/>
              </w:rPr>
            </w:pPr>
            <w:r>
              <w:rPr>
                <w:rFonts w:hint="eastAsia" w:hAnsi="宋体"/>
              </w:rPr>
              <w:t>从事项目经理年限</w:t>
            </w:r>
          </w:p>
        </w:tc>
        <w:tc>
          <w:tcPr>
            <w:tcW w:w="3026" w:type="dxa"/>
            <w:gridSpan w:val="4"/>
            <w:vAlign w:val="center"/>
          </w:tcPr>
          <w:p>
            <w:pPr>
              <w:pStyle w:val="21"/>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900" w:type="dxa"/>
            <w:gridSpan w:val="15"/>
            <w:vAlign w:val="center"/>
          </w:tcPr>
          <w:p>
            <w:pPr>
              <w:pStyle w:val="21"/>
              <w:adjustRightInd w:val="0"/>
              <w:snapToGrid w:val="0"/>
              <w:spacing w:line="300" w:lineRule="auto"/>
              <w:jc w:val="center"/>
              <w:rPr>
                <w:rFonts w:hAnsi="宋体"/>
              </w:rPr>
            </w:pPr>
            <w:r>
              <w:rPr>
                <w:rFonts w:hint="eastAsia" w:hAnsi="宋体"/>
              </w:rPr>
              <w:t>企业业绩（主要针对业绩评分内容填写）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rPr>
            </w:pPr>
            <w:r>
              <w:rPr>
                <w:rFonts w:hint="eastAsia" w:hAnsi="宋体"/>
              </w:rPr>
              <w:t>项目名称</w:t>
            </w:r>
          </w:p>
        </w:tc>
        <w:tc>
          <w:tcPr>
            <w:tcW w:w="1134" w:type="dxa"/>
            <w:gridSpan w:val="2"/>
            <w:vAlign w:val="center"/>
          </w:tcPr>
          <w:p>
            <w:pPr>
              <w:pStyle w:val="21"/>
              <w:adjustRightInd w:val="0"/>
              <w:snapToGrid w:val="0"/>
              <w:spacing w:line="300" w:lineRule="auto"/>
              <w:jc w:val="center"/>
              <w:rPr>
                <w:rFonts w:hAnsi="宋体"/>
              </w:rPr>
            </w:pPr>
            <w:r>
              <w:rPr>
                <w:rFonts w:hint="eastAsia" w:hAnsi="宋体"/>
              </w:rPr>
              <w:t>建设规模</w:t>
            </w:r>
          </w:p>
        </w:tc>
        <w:tc>
          <w:tcPr>
            <w:tcW w:w="1701" w:type="dxa"/>
            <w:gridSpan w:val="3"/>
            <w:vAlign w:val="center"/>
          </w:tcPr>
          <w:p>
            <w:pPr>
              <w:pStyle w:val="21"/>
              <w:adjustRightInd w:val="0"/>
              <w:snapToGrid w:val="0"/>
              <w:spacing w:line="300" w:lineRule="auto"/>
              <w:jc w:val="center"/>
              <w:rPr>
                <w:rFonts w:hAnsi="宋体"/>
              </w:rPr>
            </w:pPr>
            <w:r>
              <w:rPr>
                <w:rFonts w:hint="eastAsia" w:hAnsi="宋体"/>
              </w:rPr>
              <w:t>开、竣工程日期</w:t>
            </w:r>
          </w:p>
        </w:tc>
        <w:tc>
          <w:tcPr>
            <w:tcW w:w="1134" w:type="dxa"/>
            <w:gridSpan w:val="2"/>
            <w:vAlign w:val="center"/>
          </w:tcPr>
          <w:p>
            <w:pPr>
              <w:pStyle w:val="21"/>
              <w:adjustRightInd w:val="0"/>
              <w:snapToGrid w:val="0"/>
              <w:spacing w:line="300" w:lineRule="auto"/>
              <w:jc w:val="center"/>
              <w:rPr>
                <w:rFonts w:hAnsi="宋体"/>
              </w:rPr>
            </w:pPr>
            <w:r>
              <w:rPr>
                <w:rFonts w:hint="eastAsia" w:hAnsi="宋体"/>
              </w:rPr>
              <w:t>结构类型</w:t>
            </w:r>
          </w:p>
        </w:tc>
        <w:tc>
          <w:tcPr>
            <w:tcW w:w="1276" w:type="dxa"/>
            <w:gridSpan w:val="3"/>
            <w:vAlign w:val="center"/>
          </w:tcPr>
          <w:p>
            <w:pPr>
              <w:pStyle w:val="21"/>
              <w:adjustRightInd w:val="0"/>
              <w:snapToGrid w:val="0"/>
              <w:spacing w:line="300" w:lineRule="auto"/>
              <w:jc w:val="center"/>
              <w:rPr>
                <w:rFonts w:hAnsi="宋体"/>
              </w:rPr>
            </w:pPr>
            <w:r>
              <w:rPr>
                <w:rFonts w:hint="eastAsia" w:hAnsi="宋体"/>
              </w:rPr>
              <w:t>层数及高度</w:t>
            </w:r>
          </w:p>
        </w:tc>
        <w:tc>
          <w:tcPr>
            <w:tcW w:w="851" w:type="dxa"/>
            <w:vAlign w:val="center"/>
          </w:tcPr>
          <w:p>
            <w:pPr>
              <w:pStyle w:val="21"/>
              <w:adjustRightInd w:val="0"/>
              <w:snapToGrid w:val="0"/>
              <w:spacing w:line="300" w:lineRule="auto"/>
              <w:jc w:val="center"/>
              <w:rPr>
                <w:rFonts w:hAnsi="宋体"/>
              </w:rPr>
            </w:pPr>
            <w:r>
              <w:rPr>
                <w:rFonts w:hint="eastAsia" w:hAnsi="宋体"/>
              </w:rPr>
              <w:t>中标价</w:t>
            </w:r>
          </w:p>
        </w:tc>
        <w:tc>
          <w:tcPr>
            <w:tcW w:w="1336" w:type="dxa"/>
            <w:vAlign w:val="center"/>
          </w:tcPr>
          <w:p>
            <w:pPr>
              <w:pStyle w:val="21"/>
              <w:adjustRightInd w:val="0"/>
              <w:snapToGrid w:val="0"/>
              <w:spacing w:line="300" w:lineRule="auto"/>
              <w:jc w:val="center"/>
              <w:rPr>
                <w:rFonts w:hAnsi="宋体"/>
              </w:rPr>
            </w:pPr>
            <w:r>
              <w:rPr>
                <w:rFonts w:hint="eastAsia" w:hAnsi="宋体"/>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701"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276" w:type="dxa"/>
            <w:gridSpan w:val="3"/>
            <w:vAlign w:val="center"/>
          </w:tcPr>
          <w:p>
            <w:pPr>
              <w:pStyle w:val="21"/>
              <w:adjustRightInd w:val="0"/>
              <w:snapToGrid w:val="0"/>
              <w:spacing w:line="300" w:lineRule="auto"/>
              <w:jc w:val="center"/>
              <w:rPr>
                <w:rFonts w:hAnsi="宋体"/>
              </w:rPr>
            </w:pPr>
          </w:p>
        </w:tc>
        <w:tc>
          <w:tcPr>
            <w:tcW w:w="851" w:type="dxa"/>
            <w:vAlign w:val="center"/>
          </w:tcPr>
          <w:p>
            <w:pPr>
              <w:pStyle w:val="21"/>
              <w:adjustRightInd w:val="0"/>
              <w:snapToGrid w:val="0"/>
              <w:spacing w:line="300" w:lineRule="auto"/>
              <w:jc w:val="center"/>
              <w:rPr>
                <w:rFonts w:hAnsi="宋体"/>
              </w:rPr>
            </w:pPr>
          </w:p>
        </w:tc>
        <w:tc>
          <w:tcPr>
            <w:tcW w:w="1336" w:type="dxa"/>
            <w:vAlign w:val="center"/>
          </w:tcPr>
          <w:p>
            <w:pPr>
              <w:pStyle w:val="21"/>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701"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276" w:type="dxa"/>
            <w:gridSpan w:val="3"/>
            <w:vAlign w:val="center"/>
          </w:tcPr>
          <w:p>
            <w:pPr>
              <w:pStyle w:val="21"/>
              <w:adjustRightInd w:val="0"/>
              <w:snapToGrid w:val="0"/>
              <w:spacing w:line="300" w:lineRule="auto"/>
              <w:jc w:val="center"/>
              <w:rPr>
                <w:rFonts w:hAnsi="宋体"/>
              </w:rPr>
            </w:pPr>
          </w:p>
        </w:tc>
        <w:tc>
          <w:tcPr>
            <w:tcW w:w="851" w:type="dxa"/>
            <w:vAlign w:val="center"/>
          </w:tcPr>
          <w:p>
            <w:pPr>
              <w:pStyle w:val="21"/>
              <w:adjustRightInd w:val="0"/>
              <w:snapToGrid w:val="0"/>
              <w:spacing w:line="300" w:lineRule="auto"/>
              <w:jc w:val="center"/>
              <w:rPr>
                <w:rFonts w:hAnsi="宋体"/>
              </w:rPr>
            </w:pPr>
          </w:p>
        </w:tc>
        <w:tc>
          <w:tcPr>
            <w:tcW w:w="1336" w:type="dxa"/>
            <w:vAlign w:val="center"/>
          </w:tcPr>
          <w:p>
            <w:pPr>
              <w:pStyle w:val="21"/>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701"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276" w:type="dxa"/>
            <w:gridSpan w:val="3"/>
            <w:vAlign w:val="center"/>
          </w:tcPr>
          <w:p>
            <w:pPr>
              <w:pStyle w:val="21"/>
              <w:adjustRightInd w:val="0"/>
              <w:snapToGrid w:val="0"/>
              <w:spacing w:line="300" w:lineRule="auto"/>
              <w:jc w:val="center"/>
              <w:rPr>
                <w:rFonts w:hAnsi="宋体"/>
              </w:rPr>
            </w:pPr>
          </w:p>
        </w:tc>
        <w:tc>
          <w:tcPr>
            <w:tcW w:w="851" w:type="dxa"/>
            <w:vAlign w:val="center"/>
          </w:tcPr>
          <w:p>
            <w:pPr>
              <w:pStyle w:val="21"/>
              <w:adjustRightInd w:val="0"/>
              <w:snapToGrid w:val="0"/>
              <w:spacing w:line="300" w:lineRule="auto"/>
              <w:jc w:val="center"/>
              <w:rPr>
                <w:rFonts w:hAnsi="宋体"/>
              </w:rPr>
            </w:pPr>
          </w:p>
        </w:tc>
        <w:tc>
          <w:tcPr>
            <w:tcW w:w="1336" w:type="dxa"/>
            <w:vAlign w:val="center"/>
          </w:tcPr>
          <w:p>
            <w:pPr>
              <w:pStyle w:val="21"/>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701"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276" w:type="dxa"/>
            <w:gridSpan w:val="3"/>
            <w:vAlign w:val="center"/>
          </w:tcPr>
          <w:p>
            <w:pPr>
              <w:pStyle w:val="21"/>
              <w:adjustRightInd w:val="0"/>
              <w:snapToGrid w:val="0"/>
              <w:spacing w:line="300" w:lineRule="auto"/>
              <w:jc w:val="center"/>
              <w:rPr>
                <w:rFonts w:hAnsi="宋体"/>
              </w:rPr>
            </w:pPr>
          </w:p>
        </w:tc>
        <w:tc>
          <w:tcPr>
            <w:tcW w:w="851" w:type="dxa"/>
            <w:vAlign w:val="center"/>
          </w:tcPr>
          <w:p>
            <w:pPr>
              <w:pStyle w:val="21"/>
              <w:adjustRightInd w:val="0"/>
              <w:snapToGrid w:val="0"/>
              <w:spacing w:line="300" w:lineRule="auto"/>
              <w:jc w:val="center"/>
              <w:rPr>
                <w:rFonts w:hAnsi="宋体"/>
              </w:rPr>
            </w:pPr>
          </w:p>
        </w:tc>
        <w:tc>
          <w:tcPr>
            <w:tcW w:w="1336" w:type="dxa"/>
            <w:vAlign w:val="center"/>
          </w:tcPr>
          <w:p>
            <w:pPr>
              <w:pStyle w:val="21"/>
              <w:adjustRightInd w:val="0"/>
              <w:snapToGrid w:val="0"/>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701" w:type="dxa"/>
            <w:gridSpan w:val="3"/>
            <w:vAlign w:val="center"/>
          </w:tcPr>
          <w:p>
            <w:pPr>
              <w:pStyle w:val="21"/>
              <w:adjustRightInd w:val="0"/>
              <w:snapToGrid w:val="0"/>
              <w:spacing w:line="300" w:lineRule="auto"/>
              <w:jc w:val="center"/>
              <w:rPr>
                <w:rFonts w:hAnsi="宋体"/>
              </w:rPr>
            </w:pPr>
          </w:p>
        </w:tc>
        <w:tc>
          <w:tcPr>
            <w:tcW w:w="1134" w:type="dxa"/>
            <w:gridSpan w:val="2"/>
            <w:vAlign w:val="center"/>
          </w:tcPr>
          <w:p>
            <w:pPr>
              <w:pStyle w:val="21"/>
              <w:adjustRightInd w:val="0"/>
              <w:snapToGrid w:val="0"/>
              <w:spacing w:line="300" w:lineRule="auto"/>
              <w:jc w:val="center"/>
              <w:rPr>
                <w:rFonts w:hAnsi="宋体"/>
              </w:rPr>
            </w:pPr>
          </w:p>
        </w:tc>
        <w:tc>
          <w:tcPr>
            <w:tcW w:w="1276" w:type="dxa"/>
            <w:gridSpan w:val="3"/>
            <w:vAlign w:val="center"/>
          </w:tcPr>
          <w:p>
            <w:pPr>
              <w:pStyle w:val="21"/>
              <w:adjustRightInd w:val="0"/>
              <w:snapToGrid w:val="0"/>
              <w:spacing w:line="300" w:lineRule="auto"/>
              <w:jc w:val="center"/>
              <w:rPr>
                <w:rFonts w:hAnsi="宋体"/>
              </w:rPr>
            </w:pPr>
          </w:p>
        </w:tc>
        <w:tc>
          <w:tcPr>
            <w:tcW w:w="851" w:type="dxa"/>
            <w:vAlign w:val="center"/>
          </w:tcPr>
          <w:p>
            <w:pPr>
              <w:pStyle w:val="21"/>
              <w:adjustRightInd w:val="0"/>
              <w:snapToGrid w:val="0"/>
              <w:spacing w:line="300" w:lineRule="auto"/>
              <w:jc w:val="center"/>
              <w:rPr>
                <w:rFonts w:hAnsi="宋体"/>
              </w:rPr>
            </w:pPr>
          </w:p>
        </w:tc>
        <w:tc>
          <w:tcPr>
            <w:tcW w:w="1336" w:type="dxa"/>
            <w:vAlign w:val="center"/>
          </w:tcPr>
          <w:p>
            <w:pPr>
              <w:pStyle w:val="21"/>
              <w:adjustRightInd w:val="0"/>
              <w:snapToGrid w:val="0"/>
              <w:spacing w:line="300" w:lineRule="auto"/>
              <w:jc w:val="center"/>
              <w:rPr>
                <w:rFonts w:hAnsi="宋体"/>
              </w:rPr>
            </w:pPr>
          </w:p>
        </w:tc>
      </w:tr>
    </w:tbl>
    <w:p>
      <w:pPr>
        <w:rPr>
          <w:rFonts w:ascii="宋体" w:hAnsi="宋体"/>
          <w:sz w:val="24"/>
          <w:szCs w:val="24"/>
        </w:rPr>
      </w:pPr>
    </w:p>
    <w:p>
      <w:pPr>
        <w:rPr>
          <w:rFonts w:ascii="宋体" w:hAnsi="宋体"/>
          <w:sz w:val="24"/>
          <w:szCs w:val="24"/>
        </w:rPr>
      </w:pPr>
    </w:p>
    <w:p>
      <w:pPr>
        <w:rPr>
          <w:sz w:val="32"/>
          <w:szCs w:val="32"/>
        </w:rPr>
      </w:pPr>
      <w:bookmarkStart w:id="79" w:name="_Toc111371851"/>
      <w:r>
        <w:rPr>
          <w:sz w:val="32"/>
          <w:szCs w:val="32"/>
        </w:rPr>
        <w:br w:type="page"/>
      </w:r>
    </w:p>
    <w:p>
      <w:pPr>
        <w:jc w:val="center"/>
        <w:rPr>
          <w:sz w:val="32"/>
          <w:szCs w:val="32"/>
        </w:rPr>
      </w:pPr>
      <w:r>
        <w:rPr>
          <w:rFonts w:hint="eastAsia"/>
          <w:sz w:val="32"/>
          <w:szCs w:val="32"/>
        </w:rPr>
        <w:t>表5.3  施工方案或施工组织设计</w:t>
      </w:r>
      <w:bookmarkEnd w:id="79"/>
    </w:p>
    <w:p>
      <w:pPr>
        <w:pStyle w:val="21"/>
        <w:adjustRightInd w:val="0"/>
        <w:snapToGrid w:val="0"/>
        <w:spacing w:line="300" w:lineRule="auto"/>
        <w:rPr>
          <w:rFonts w:hAnsi="宋体"/>
          <w:sz w:val="24"/>
          <w:szCs w:val="24"/>
        </w:rPr>
      </w:pPr>
    </w:p>
    <w:p>
      <w:pPr>
        <w:pStyle w:val="21"/>
        <w:adjustRightInd w:val="0"/>
        <w:snapToGrid w:val="0"/>
        <w:spacing w:line="300" w:lineRule="auto"/>
        <w:ind w:firstLine="420"/>
        <w:rPr>
          <w:rFonts w:hAnsi="宋体"/>
        </w:rPr>
      </w:pPr>
      <w:r>
        <w:rPr>
          <w:rFonts w:hint="eastAsia" w:hAnsi="宋体"/>
        </w:rPr>
        <w:t>投标人应递交完整的施工方案或施工组织设计，说明各分部分项工程的施工方法和布置，提交包括临时设施和施工道路的施工总布置图及其他必须的图表、文字说明书等资料，至少应包括：</w:t>
      </w:r>
    </w:p>
    <w:p>
      <w:pPr>
        <w:pStyle w:val="21"/>
        <w:adjustRightInd w:val="0"/>
        <w:snapToGrid w:val="0"/>
        <w:spacing w:line="300" w:lineRule="auto"/>
        <w:rPr>
          <w:rFonts w:hAnsi="宋体"/>
        </w:rPr>
      </w:pPr>
      <w:r>
        <w:rPr>
          <w:rFonts w:hint="eastAsia" w:hAnsi="宋体"/>
        </w:rPr>
        <w:t>一、各分部分项工程的完整的施工方案，保证质量的措施；</w:t>
      </w:r>
    </w:p>
    <w:p>
      <w:pPr>
        <w:pStyle w:val="21"/>
        <w:adjustRightInd w:val="0"/>
        <w:snapToGrid w:val="0"/>
        <w:spacing w:line="300" w:lineRule="auto"/>
        <w:rPr>
          <w:rFonts w:hAnsi="宋体"/>
        </w:rPr>
      </w:pPr>
      <w:r>
        <w:rPr>
          <w:rFonts w:hint="eastAsia" w:hAnsi="宋体"/>
        </w:rPr>
        <w:t>二、施工机械的进场计划；</w:t>
      </w:r>
    </w:p>
    <w:p>
      <w:pPr>
        <w:pStyle w:val="21"/>
        <w:adjustRightInd w:val="0"/>
        <w:snapToGrid w:val="0"/>
        <w:spacing w:line="300" w:lineRule="auto"/>
        <w:rPr>
          <w:rFonts w:hAnsi="宋体"/>
        </w:rPr>
      </w:pPr>
      <w:r>
        <w:rPr>
          <w:rFonts w:hint="eastAsia" w:hAnsi="宋体"/>
        </w:rPr>
        <w:t>三、工程材料的进场计划；</w:t>
      </w:r>
    </w:p>
    <w:p>
      <w:pPr>
        <w:pStyle w:val="21"/>
        <w:adjustRightInd w:val="0"/>
        <w:snapToGrid w:val="0"/>
        <w:spacing w:line="300" w:lineRule="auto"/>
        <w:rPr>
          <w:rFonts w:hAnsi="宋体"/>
        </w:rPr>
      </w:pPr>
      <w:r>
        <w:rPr>
          <w:rFonts w:hint="eastAsia" w:hAnsi="宋体"/>
        </w:rPr>
        <w:t>四、施工现场平面布置图及施工道路平面图；</w:t>
      </w:r>
    </w:p>
    <w:p>
      <w:pPr>
        <w:pStyle w:val="21"/>
        <w:adjustRightInd w:val="0"/>
        <w:snapToGrid w:val="0"/>
        <w:spacing w:line="300" w:lineRule="auto"/>
        <w:rPr>
          <w:rFonts w:hAnsi="宋体"/>
        </w:rPr>
      </w:pPr>
      <w:r>
        <w:rPr>
          <w:rFonts w:hint="eastAsia" w:hAnsi="宋体"/>
        </w:rPr>
        <w:t>五、保证安全生产，文明施工，减少扰民降低环境污染和噪音的措施。</w:t>
      </w:r>
    </w:p>
    <w:p>
      <w:pPr>
        <w:pStyle w:val="4"/>
        <w:rPr>
          <w:rFonts w:ascii="宋体" w:hAnsi="宋体" w:eastAsia="宋体"/>
          <w:snapToGrid w:val="0"/>
        </w:rPr>
      </w:pPr>
      <w:bookmarkStart w:id="80" w:name="_Toc23100"/>
      <w:r>
        <w:rPr>
          <w:rFonts w:hint="eastAsia" w:ascii="宋体" w:hAnsi="宋体" w:eastAsia="宋体"/>
          <w:snapToGrid w:val="0"/>
        </w:rPr>
        <w:t>六、资格审查资料</w:t>
      </w:r>
      <w:bookmarkEnd w:id="80"/>
    </w:p>
    <w:p>
      <w:pPr>
        <w:pStyle w:val="4"/>
        <w:rPr>
          <w:rFonts w:ascii="宋体" w:hAnsi="宋体" w:eastAsia="宋体"/>
          <w:snapToGrid w:val="0"/>
        </w:rPr>
      </w:pPr>
      <w:bookmarkStart w:id="81" w:name="_Toc16838"/>
      <w:r>
        <w:rPr>
          <w:rFonts w:hint="eastAsia" w:ascii="宋体" w:hAnsi="宋体" w:eastAsia="宋体"/>
          <w:snapToGrid w:val="0"/>
        </w:rPr>
        <w:t>七、其他资料</w:t>
      </w:r>
      <w:bookmarkEnd w:id="81"/>
    </w:p>
    <w:p>
      <w:pPr>
        <w:pStyle w:val="21"/>
        <w:adjustRightInd w:val="0"/>
        <w:snapToGrid w:val="0"/>
        <w:spacing w:line="300" w:lineRule="auto"/>
        <w:jc w:val="center"/>
        <w:rPr>
          <w:rFonts w:hAnsi="宋体"/>
        </w:rPr>
      </w:pPr>
      <w:r>
        <w:rPr>
          <w:rFonts w:hAnsi="宋体"/>
          <w:b/>
          <w:bCs/>
          <w:sz w:val="32"/>
        </w:rPr>
        <w:t xml:space="preserve"> </w:t>
      </w:r>
      <w:r>
        <w:rPr>
          <w:rFonts w:hint="eastAsia" w:hAnsi="宋体"/>
          <w:b/>
          <w:bCs/>
          <w:sz w:val="32"/>
        </w:rPr>
        <w:t>投标文件中所需其它资料由各投标单位自主确定</w:t>
      </w:r>
    </w:p>
    <w:sectPr>
      <w:footerReference r:id="rId3" w:type="default"/>
      <w:pgSz w:w="11907" w:h="16840"/>
      <w:pgMar w:top="1418" w:right="1418" w:bottom="1418" w:left="1418" w:header="720" w:footer="720"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KNL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38</w:t>
    </w:r>
    <w:r>
      <w:rPr>
        <w:rStyle w:val="44"/>
      </w:rPr>
      <w:fldChar w:fldCharType="end"/>
    </w:r>
  </w:p>
  <w:p>
    <w:pPr>
      <w:pStyle w:val="26"/>
      <w:ind w:right="360"/>
      <w:jc w:val="center"/>
    </w:pPr>
    <w:r>
      <w:rPr>
        <w:rStyle w:val="4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00"/>
  <w:drawingGridVerticalSpacing w:val="271"/>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831"/>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AEB"/>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1241"/>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B0F"/>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0B9E"/>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08"/>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B51"/>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1CB8"/>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78E"/>
    <w:rsid w:val="005835D5"/>
    <w:rsid w:val="005838F2"/>
    <w:rsid w:val="00584FAE"/>
    <w:rsid w:val="00586FE0"/>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23E5"/>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453"/>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6699"/>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61AA"/>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322B"/>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517C"/>
    <w:rsid w:val="008153E4"/>
    <w:rsid w:val="00815510"/>
    <w:rsid w:val="00815FC1"/>
    <w:rsid w:val="008171C3"/>
    <w:rsid w:val="0081742D"/>
    <w:rsid w:val="00817CB1"/>
    <w:rsid w:val="0082016E"/>
    <w:rsid w:val="008219A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1A75"/>
    <w:rsid w:val="008C239D"/>
    <w:rsid w:val="008C48BF"/>
    <w:rsid w:val="008C527E"/>
    <w:rsid w:val="008C5CF0"/>
    <w:rsid w:val="008C6190"/>
    <w:rsid w:val="008C6396"/>
    <w:rsid w:val="008C679E"/>
    <w:rsid w:val="008C691F"/>
    <w:rsid w:val="008C7F76"/>
    <w:rsid w:val="008D2A02"/>
    <w:rsid w:val="008D3D6C"/>
    <w:rsid w:val="008D7917"/>
    <w:rsid w:val="008D7B71"/>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66E11"/>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B1F"/>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D42"/>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3A99"/>
    <w:rsid w:val="00D3470A"/>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341"/>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48B"/>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648"/>
    <w:rsid w:val="00F26E79"/>
    <w:rsid w:val="00F30D87"/>
    <w:rsid w:val="00F312EC"/>
    <w:rsid w:val="00F359E1"/>
    <w:rsid w:val="00F36030"/>
    <w:rsid w:val="00F36BCC"/>
    <w:rsid w:val="00F40694"/>
    <w:rsid w:val="00F41580"/>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0C9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B03"/>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7E0CBA"/>
    <w:rsid w:val="049D07A1"/>
    <w:rsid w:val="04CB0ABC"/>
    <w:rsid w:val="05E852D2"/>
    <w:rsid w:val="07647CAF"/>
    <w:rsid w:val="09B12D77"/>
    <w:rsid w:val="0B655C41"/>
    <w:rsid w:val="0F857E74"/>
    <w:rsid w:val="1084012E"/>
    <w:rsid w:val="11EA1373"/>
    <w:rsid w:val="12841571"/>
    <w:rsid w:val="14E909DB"/>
    <w:rsid w:val="15423A31"/>
    <w:rsid w:val="15EE0289"/>
    <w:rsid w:val="169C1ABF"/>
    <w:rsid w:val="16FA74C1"/>
    <w:rsid w:val="18717FA7"/>
    <w:rsid w:val="1C752741"/>
    <w:rsid w:val="1D5008F3"/>
    <w:rsid w:val="1ED323A3"/>
    <w:rsid w:val="1EE17E33"/>
    <w:rsid w:val="211B33DF"/>
    <w:rsid w:val="21E75FAA"/>
    <w:rsid w:val="22A67691"/>
    <w:rsid w:val="22CF738A"/>
    <w:rsid w:val="23E073EA"/>
    <w:rsid w:val="248E6289"/>
    <w:rsid w:val="26F27C71"/>
    <w:rsid w:val="26FB00F9"/>
    <w:rsid w:val="27AF38A8"/>
    <w:rsid w:val="28D02A86"/>
    <w:rsid w:val="2B20324F"/>
    <w:rsid w:val="2B8D463B"/>
    <w:rsid w:val="2E1C51B6"/>
    <w:rsid w:val="2F7A50F2"/>
    <w:rsid w:val="30166275"/>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6D74FB8"/>
    <w:rsid w:val="480623B9"/>
    <w:rsid w:val="48536ED8"/>
    <w:rsid w:val="48F97216"/>
    <w:rsid w:val="4ABA7DCA"/>
    <w:rsid w:val="4B7B4EE4"/>
    <w:rsid w:val="4C5E2F58"/>
    <w:rsid w:val="4CF5694E"/>
    <w:rsid w:val="4E257040"/>
    <w:rsid w:val="552F5D29"/>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945A3F"/>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99" w:semiHidden="0" w:name="Hyperlink"/>
    <w:lsdException w:qFormat="1" w:unhideWhenUsed="0" w:uiPriority="0" w:semiHidden="0" w:name="FollowedHyperlink" w:locked="1"/>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等线" w:cs="Times New Roman"/>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kern w:val="44"/>
      <w:sz w:val="44"/>
    </w:rPr>
  </w:style>
  <w:style w:type="paragraph" w:styleId="3">
    <w:name w:val="heading 2"/>
    <w:basedOn w:val="1"/>
    <w:next w:val="1"/>
    <w:link w:val="49"/>
    <w:qFormat/>
    <w:uiPriority w:val="0"/>
    <w:pPr>
      <w:keepNext/>
      <w:keepLines/>
      <w:widowControl w:val="0"/>
      <w:spacing w:before="260" w:after="260" w:line="416" w:lineRule="auto"/>
      <w:jc w:val="both"/>
      <w:outlineLvl w:val="1"/>
    </w:pPr>
    <w:rPr>
      <w:rFonts w:ascii="Arial" w:hAnsi="Arial" w:eastAsia="黑体"/>
      <w:b/>
      <w:kern w:val="2"/>
      <w:sz w:val="32"/>
    </w:rPr>
  </w:style>
  <w:style w:type="paragraph" w:styleId="4">
    <w:name w:val="heading 3"/>
    <w:basedOn w:val="1"/>
    <w:next w:val="1"/>
    <w:link w:val="50"/>
    <w:qFormat/>
    <w:uiPriority w:val="0"/>
    <w:pPr>
      <w:keepNext/>
      <w:keepLines/>
      <w:widowControl w:val="0"/>
      <w:spacing w:before="260" w:after="260" w:line="416" w:lineRule="auto"/>
      <w:jc w:val="center"/>
      <w:outlineLvl w:val="2"/>
    </w:pPr>
    <w:rPr>
      <w:b/>
      <w:kern w:val="2"/>
      <w:sz w:val="32"/>
    </w:rPr>
  </w:style>
  <w:style w:type="paragraph" w:styleId="5">
    <w:name w:val="heading 4"/>
    <w:basedOn w:val="1"/>
    <w:next w:val="1"/>
    <w:link w:val="82"/>
    <w:unhideWhenUsed/>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83"/>
    <w:qFormat/>
    <w:uiPriority w:val="0"/>
    <w:pPr>
      <w:keepNext/>
      <w:keepLines/>
      <w:spacing w:before="280" w:after="290" w:line="376" w:lineRule="auto"/>
      <w:outlineLvl w:val="4"/>
    </w:pPr>
    <w:rPr>
      <w:rFonts w:ascii="Times New Roman" w:hAnsi="Times New Roman" w:eastAsia="宋体"/>
      <w:b/>
      <w:bCs/>
      <w:sz w:val="28"/>
      <w:szCs w:val="28"/>
    </w:rPr>
  </w:style>
  <w:style w:type="paragraph" w:styleId="7">
    <w:name w:val="heading 6"/>
    <w:basedOn w:val="1"/>
    <w:next w:val="1"/>
    <w:link w:val="84"/>
    <w:qFormat/>
    <w:uiPriority w:val="0"/>
    <w:pPr>
      <w:keepNext/>
      <w:keepLines/>
      <w:tabs>
        <w:tab w:val="left" w:pos="1440"/>
      </w:tabs>
      <w:spacing w:before="240" w:after="64" w:line="317" w:lineRule="auto"/>
      <w:ind w:left="1152" w:hanging="1152"/>
      <w:outlineLvl w:val="5"/>
    </w:pPr>
    <w:rPr>
      <w:rFonts w:ascii="Arial" w:hAnsi="Arial" w:eastAsia="黑体"/>
      <w:b/>
      <w:sz w:val="24"/>
    </w:rPr>
  </w:style>
  <w:style w:type="paragraph" w:styleId="8">
    <w:name w:val="heading 7"/>
    <w:basedOn w:val="1"/>
    <w:next w:val="1"/>
    <w:link w:val="85"/>
    <w:qFormat/>
    <w:uiPriority w:val="0"/>
    <w:pPr>
      <w:keepNext/>
      <w:keepLines/>
      <w:tabs>
        <w:tab w:val="left" w:pos="2520"/>
      </w:tabs>
      <w:spacing w:before="240" w:after="64" w:line="317" w:lineRule="auto"/>
      <w:ind w:left="1296" w:hanging="1296"/>
      <w:outlineLvl w:val="6"/>
    </w:pPr>
    <w:rPr>
      <w:rFonts w:ascii="Times New Roman" w:hAnsi="Times New Roman" w:eastAsia="宋体"/>
      <w:b/>
      <w:sz w:val="24"/>
    </w:rPr>
  </w:style>
  <w:style w:type="paragraph" w:styleId="9">
    <w:name w:val="heading 8"/>
    <w:basedOn w:val="1"/>
    <w:next w:val="1"/>
    <w:link w:val="86"/>
    <w:qFormat/>
    <w:uiPriority w:val="0"/>
    <w:pPr>
      <w:keepNext/>
      <w:keepLines/>
      <w:widowControl w:val="0"/>
      <w:spacing w:before="240" w:after="64" w:line="317" w:lineRule="auto"/>
      <w:jc w:val="both"/>
      <w:outlineLvl w:val="7"/>
    </w:pPr>
    <w:rPr>
      <w:rFonts w:ascii="Arial" w:hAnsi="Arial" w:eastAsia="黑体"/>
      <w:kern w:val="2"/>
      <w:sz w:val="24"/>
    </w:rPr>
  </w:style>
  <w:style w:type="paragraph" w:styleId="10">
    <w:name w:val="heading 9"/>
    <w:basedOn w:val="1"/>
    <w:next w:val="1"/>
    <w:link w:val="87"/>
    <w:qFormat/>
    <w:uiPriority w:val="0"/>
    <w:pPr>
      <w:keepNext/>
      <w:keepLines/>
      <w:tabs>
        <w:tab w:val="left" w:pos="1584"/>
      </w:tabs>
      <w:spacing w:before="240" w:after="64" w:line="317" w:lineRule="auto"/>
      <w:ind w:left="1584" w:hanging="1584"/>
      <w:outlineLvl w:val="8"/>
    </w:pPr>
    <w:rPr>
      <w:rFonts w:ascii="Arial" w:hAnsi="Arial" w:eastAsia="黑体"/>
      <w:sz w:val="21"/>
    </w:rPr>
  </w:style>
  <w:style w:type="character" w:default="1" w:styleId="42">
    <w:name w:val="Default Paragraph Font"/>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iPriority w:val="39"/>
    <w:pPr>
      <w:ind w:left="2520" w:leftChars="1200"/>
    </w:pPr>
    <w:rPr>
      <w:rFonts w:ascii="Times New Roman" w:hAnsi="Times New Roman" w:eastAsia="宋体"/>
    </w:rPr>
  </w:style>
  <w:style w:type="paragraph" w:styleId="12">
    <w:name w:val="Normal Indent"/>
    <w:basedOn w:val="1"/>
    <w:qFormat/>
    <w:uiPriority w:val="0"/>
    <w:pPr>
      <w:widowControl w:val="0"/>
      <w:adjustRightInd w:val="0"/>
      <w:spacing w:line="360" w:lineRule="atLeast"/>
      <w:ind w:firstLine="420"/>
      <w:jc w:val="both"/>
      <w:textAlignment w:val="baseline"/>
    </w:pPr>
    <w:rPr>
      <w:kern w:val="2"/>
      <w:sz w:val="21"/>
    </w:rPr>
  </w:style>
  <w:style w:type="paragraph" w:styleId="13">
    <w:name w:val="Document Map"/>
    <w:basedOn w:val="1"/>
    <w:link w:val="51"/>
    <w:qFormat/>
    <w:uiPriority w:val="0"/>
    <w:pPr>
      <w:shd w:val="clear" w:color="auto" w:fill="000080"/>
    </w:pPr>
    <w:rPr>
      <w:rFonts w:ascii="Times New Roman" w:hAnsi="Times New Roman"/>
      <w:sz w:val="2"/>
    </w:rPr>
  </w:style>
  <w:style w:type="paragraph" w:styleId="14">
    <w:name w:val="annotation text"/>
    <w:basedOn w:val="1"/>
    <w:link w:val="52"/>
    <w:qFormat/>
    <w:uiPriority w:val="0"/>
    <w:pPr>
      <w:widowControl w:val="0"/>
    </w:pPr>
    <w:rPr>
      <w:kern w:val="2"/>
      <w:sz w:val="24"/>
    </w:rPr>
  </w:style>
  <w:style w:type="paragraph" w:styleId="15">
    <w:name w:val="Body Text 3"/>
    <w:basedOn w:val="1"/>
    <w:link w:val="53"/>
    <w:qFormat/>
    <w:uiPriority w:val="0"/>
    <w:pPr>
      <w:tabs>
        <w:tab w:val="left" w:pos="0"/>
        <w:tab w:val="left" w:pos="993"/>
        <w:tab w:val="left" w:pos="1134"/>
      </w:tabs>
      <w:adjustRightInd w:val="0"/>
      <w:snapToGrid w:val="0"/>
      <w:spacing w:line="360" w:lineRule="auto"/>
      <w:jc w:val="both"/>
    </w:pPr>
    <w:rPr>
      <w:sz w:val="16"/>
      <w:szCs w:val="16"/>
    </w:rPr>
  </w:style>
  <w:style w:type="paragraph" w:styleId="16">
    <w:name w:val="Body Text"/>
    <w:basedOn w:val="1"/>
    <w:link w:val="54"/>
    <w:qFormat/>
    <w:uiPriority w:val="0"/>
    <w:pPr>
      <w:tabs>
        <w:tab w:val="left" w:pos="0"/>
        <w:tab w:val="left" w:pos="993"/>
        <w:tab w:val="left" w:pos="1134"/>
      </w:tabs>
      <w:spacing w:line="500" w:lineRule="exact"/>
      <w:jc w:val="both"/>
    </w:pPr>
  </w:style>
  <w:style w:type="paragraph" w:styleId="17">
    <w:name w:val="Body Text Indent"/>
    <w:basedOn w:val="1"/>
    <w:link w:val="55"/>
    <w:qFormat/>
    <w:uiPriority w:val="0"/>
    <w:pPr>
      <w:tabs>
        <w:tab w:val="left" w:pos="0"/>
        <w:tab w:val="left" w:pos="993"/>
        <w:tab w:val="left" w:pos="1134"/>
      </w:tabs>
      <w:spacing w:line="500" w:lineRule="exact"/>
      <w:ind w:firstLine="567"/>
      <w:jc w:val="both"/>
    </w:pPr>
  </w:style>
  <w:style w:type="paragraph" w:styleId="18">
    <w:name w:val="index 4"/>
    <w:basedOn w:val="1"/>
    <w:next w:val="1"/>
    <w:qFormat/>
    <w:locked/>
    <w:uiPriority w:val="0"/>
    <w:pPr>
      <w:widowControl w:val="0"/>
      <w:ind w:left="600" w:leftChars="600"/>
      <w:jc w:val="both"/>
    </w:pPr>
    <w:rPr>
      <w:rFonts w:ascii="Times New Roman" w:hAnsi="Times New Roman" w:eastAsia="宋体"/>
      <w:kern w:val="2"/>
      <w:sz w:val="21"/>
      <w:szCs w:val="24"/>
    </w:rPr>
  </w:style>
  <w:style w:type="paragraph" w:styleId="19">
    <w:name w:val="toc 5"/>
    <w:basedOn w:val="1"/>
    <w:next w:val="1"/>
    <w:qFormat/>
    <w:uiPriority w:val="39"/>
    <w:pPr>
      <w:ind w:left="1680" w:leftChars="800"/>
    </w:pPr>
    <w:rPr>
      <w:rFonts w:ascii="Times New Roman" w:hAnsi="Times New Roman" w:eastAsia="宋体"/>
    </w:rPr>
  </w:style>
  <w:style w:type="paragraph" w:styleId="20">
    <w:name w:val="toc 3"/>
    <w:basedOn w:val="1"/>
    <w:next w:val="1"/>
    <w:qFormat/>
    <w:uiPriority w:val="39"/>
    <w:pPr>
      <w:ind w:left="840" w:leftChars="400"/>
    </w:pPr>
  </w:style>
  <w:style w:type="paragraph" w:styleId="21">
    <w:name w:val="Plain Text"/>
    <w:basedOn w:val="1"/>
    <w:link w:val="56"/>
    <w:qFormat/>
    <w:uiPriority w:val="0"/>
    <w:pPr>
      <w:widowControl w:val="0"/>
      <w:jc w:val="both"/>
    </w:pPr>
    <w:rPr>
      <w:rFonts w:ascii="宋体" w:hAnsi="Courier New"/>
      <w:kern w:val="2"/>
      <w:sz w:val="21"/>
    </w:rPr>
  </w:style>
  <w:style w:type="paragraph" w:styleId="22">
    <w:name w:val="toc 8"/>
    <w:basedOn w:val="1"/>
    <w:next w:val="1"/>
    <w:qFormat/>
    <w:uiPriority w:val="39"/>
    <w:pPr>
      <w:ind w:left="2940" w:leftChars="1400"/>
    </w:pPr>
    <w:rPr>
      <w:rFonts w:ascii="Times New Roman" w:hAnsi="Times New Roman" w:eastAsia="宋体"/>
    </w:rPr>
  </w:style>
  <w:style w:type="paragraph" w:styleId="23">
    <w:name w:val="Date"/>
    <w:basedOn w:val="1"/>
    <w:next w:val="1"/>
    <w:link w:val="57"/>
    <w:qFormat/>
    <w:uiPriority w:val="0"/>
    <w:pPr>
      <w:jc w:val="both"/>
    </w:pPr>
    <w:rPr>
      <w:rFonts w:eastAsia="仿宋_GB2312"/>
      <w:sz w:val="30"/>
    </w:rPr>
  </w:style>
  <w:style w:type="paragraph" w:styleId="24">
    <w:name w:val="Body Text Indent 2"/>
    <w:basedOn w:val="1"/>
    <w:link w:val="58"/>
    <w:qFormat/>
    <w:uiPriority w:val="0"/>
    <w:pPr>
      <w:tabs>
        <w:tab w:val="left" w:pos="0"/>
        <w:tab w:val="left" w:pos="993"/>
        <w:tab w:val="left" w:pos="1134"/>
      </w:tabs>
      <w:spacing w:line="500" w:lineRule="exact"/>
      <w:ind w:firstLine="851"/>
      <w:jc w:val="both"/>
    </w:pPr>
  </w:style>
  <w:style w:type="paragraph" w:styleId="25">
    <w:name w:val="Balloon Text"/>
    <w:basedOn w:val="1"/>
    <w:link w:val="59"/>
    <w:qFormat/>
    <w:uiPriority w:val="0"/>
    <w:rPr>
      <w:sz w:val="2"/>
    </w:rPr>
  </w:style>
  <w:style w:type="paragraph" w:styleId="26">
    <w:name w:val="footer"/>
    <w:basedOn w:val="1"/>
    <w:link w:val="60"/>
    <w:qFormat/>
    <w:uiPriority w:val="99"/>
    <w:pPr>
      <w:tabs>
        <w:tab w:val="center" w:pos="4153"/>
        <w:tab w:val="right" w:pos="8306"/>
      </w:tabs>
      <w:snapToGrid w:val="0"/>
    </w:pPr>
    <w:rPr>
      <w:sz w:val="18"/>
    </w:rPr>
  </w:style>
  <w:style w:type="paragraph" w:styleId="27">
    <w:name w:val="header"/>
    <w:basedOn w:val="1"/>
    <w:link w:val="6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toc 4"/>
    <w:basedOn w:val="1"/>
    <w:next w:val="1"/>
    <w:qFormat/>
    <w:uiPriority w:val="39"/>
    <w:pPr>
      <w:ind w:left="1260" w:leftChars="600"/>
    </w:pPr>
    <w:rPr>
      <w:rFonts w:ascii="Times New Roman" w:hAnsi="Times New Roman" w:eastAsia="宋体"/>
    </w:rPr>
  </w:style>
  <w:style w:type="paragraph" w:styleId="30">
    <w:name w:val="Subtitle"/>
    <w:basedOn w:val="1"/>
    <w:next w:val="1"/>
    <w:link w:val="103"/>
    <w:qFormat/>
    <w:uiPriority w:val="0"/>
    <w:pPr>
      <w:widowControl w:val="0"/>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39"/>
    <w:pPr>
      <w:ind w:left="2100" w:leftChars="1000"/>
    </w:pPr>
    <w:rPr>
      <w:rFonts w:ascii="Times New Roman" w:hAnsi="Times New Roman" w:eastAsia="宋体"/>
    </w:rPr>
  </w:style>
  <w:style w:type="paragraph" w:styleId="32">
    <w:name w:val="Body Text Indent 3"/>
    <w:basedOn w:val="1"/>
    <w:link w:val="62"/>
    <w:qFormat/>
    <w:uiPriority w:val="0"/>
    <w:pPr>
      <w:tabs>
        <w:tab w:val="left" w:pos="0"/>
        <w:tab w:val="left" w:pos="1134"/>
      </w:tabs>
      <w:adjustRightInd w:val="0"/>
      <w:snapToGrid w:val="0"/>
      <w:spacing w:line="360" w:lineRule="auto"/>
      <w:ind w:left="567"/>
    </w:pPr>
    <w:rPr>
      <w:sz w:val="16"/>
      <w:szCs w:val="16"/>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rPr>
      <w:rFonts w:ascii="Times New Roman" w:hAnsi="Times New Roman" w:eastAsia="宋体"/>
    </w:rPr>
  </w:style>
  <w:style w:type="paragraph" w:styleId="35">
    <w:name w:val="Body Text 2"/>
    <w:basedOn w:val="1"/>
    <w:link w:val="63"/>
    <w:qFormat/>
    <w:uiPriority w:val="0"/>
    <w:pPr>
      <w:tabs>
        <w:tab w:val="left" w:pos="0"/>
        <w:tab w:val="left" w:pos="993"/>
        <w:tab w:val="left" w:pos="1134"/>
      </w:tabs>
      <w:spacing w:line="240" w:lineRule="exact"/>
      <w:jc w:val="both"/>
    </w:pPr>
  </w:style>
  <w:style w:type="paragraph" w:styleId="36">
    <w:name w:val="HTML Preformatted"/>
    <w:basedOn w:val="1"/>
    <w:link w:val="6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37">
    <w:name w:val="Normal (Web)"/>
    <w:basedOn w:val="1"/>
    <w:qFormat/>
    <w:uiPriority w:val="99"/>
    <w:pPr>
      <w:spacing w:before="100" w:beforeAutospacing="1" w:after="100" w:afterAutospacing="1"/>
    </w:pPr>
    <w:rPr>
      <w:rFonts w:ascii="宋体" w:hAnsi="宋体"/>
      <w:sz w:val="24"/>
      <w:szCs w:val="24"/>
    </w:rPr>
  </w:style>
  <w:style w:type="paragraph" w:styleId="38">
    <w:name w:val="Title"/>
    <w:basedOn w:val="1"/>
    <w:next w:val="1"/>
    <w:link w:val="65"/>
    <w:qFormat/>
    <w:uiPriority w:val="0"/>
    <w:pPr>
      <w:spacing w:before="240" w:after="60"/>
      <w:jc w:val="center"/>
      <w:outlineLvl w:val="0"/>
    </w:pPr>
    <w:rPr>
      <w:rFonts w:ascii="Cambria" w:hAnsi="Cambria"/>
      <w:b/>
      <w:sz w:val="32"/>
    </w:rPr>
  </w:style>
  <w:style w:type="paragraph" w:styleId="39">
    <w:name w:val="annotation subject"/>
    <w:basedOn w:val="14"/>
    <w:next w:val="14"/>
    <w:link w:val="80"/>
    <w:qFormat/>
    <w:uiPriority w:val="0"/>
    <w:pPr>
      <w:widowControl/>
    </w:pPr>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3">
    <w:name w:val="Strong"/>
    <w:qFormat/>
    <w:uiPriority w:val="99"/>
    <w:rPr>
      <w:rFonts w:cs="Times New Roman"/>
      <w:b/>
    </w:rPr>
  </w:style>
  <w:style w:type="character" w:styleId="44">
    <w:name w:val="page number"/>
    <w:qFormat/>
    <w:uiPriority w:val="0"/>
    <w:rPr>
      <w:rFonts w:cs="Times New Roman"/>
    </w:rPr>
  </w:style>
  <w:style w:type="character" w:styleId="45">
    <w:name w:val="FollowedHyperlink"/>
    <w:basedOn w:val="42"/>
    <w:qFormat/>
    <w:locked/>
    <w:uiPriority w:val="0"/>
    <w:rPr>
      <w:color w:val="800080"/>
      <w:u w:val="single"/>
    </w:rPr>
  </w:style>
  <w:style w:type="character" w:styleId="46">
    <w:name w:val="Hyperlink"/>
    <w:qFormat/>
    <w:uiPriority w:val="99"/>
    <w:rPr>
      <w:rFonts w:cs="Times New Roman"/>
      <w:color w:val="0000FF"/>
      <w:u w:val="single"/>
    </w:rPr>
  </w:style>
  <w:style w:type="character" w:styleId="47">
    <w:name w:val="annotation reference"/>
    <w:qFormat/>
    <w:uiPriority w:val="99"/>
    <w:rPr>
      <w:rFonts w:cs="Times New Roman"/>
      <w:sz w:val="21"/>
    </w:rPr>
  </w:style>
  <w:style w:type="character" w:customStyle="1" w:styleId="48">
    <w:name w:val="标题 1 Char"/>
    <w:link w:val="2"/>
    <w:qFormat/>
    <w:locked/>
    <w:uiPriority w:val="0"/>
    <w:rPr>
      <w:rFonts w:cs="Times New Roman"/>
      <w:b/>
      <w:kern w:val="44"/>
      <w:sz w:val="44"/>
    </w:rPr>
  </w:style>
  <w:style w:type="character" w:customStyle="1" w:styleId="49">
    <w:name w:val="标题 2 Char"/>
    <w:link w:val="3"/>
    <w:qFormat/>
    <w:locked/>
    <w:uiPriority w:val="0"/>
    <w:rPr>
      <w:rFonts w:ascii="Arial" w:hAnsi="Arial" w:eastAsia="黑体" w:cs="Times New Roman"/>
      <w:b/>
      <w:kern w:val="2"/>
      <w:sz w:val="32"/>
    </w:rPr>
  </w:style>
  <w:style w:type="character" w:customStyle="1" w:styleId="50">
    <w:name w:val="标题 3 Char"/>
    <w:link w:val="4"/>
    <w:qFormat/>
    <w:locked/>
    <w:uiPriority w:val="0"/>
    <w:rPr>
      <w:rFonts w:cs="Times New Roman"/>
      <w:b/>
      <w:kern w:val="2"/>
      <w:sz w:val="32"/>
    </w:rPr>
  </w:style>
  <w:style w:type="character" w:customStyle="1" w:styleId="51">
    <w:name w:val="文档结构图 Char"/>
    <w:link w:val="13"/>
    <w:qFormat/>
    <w:locked/>
    <w:uiPriority w:val="0"/>
    <w:rPr>
      <w:rFonts w:ascii="Times New Roman" w:hAnsi="Times New Roman" w:cs="Times New Roman"/>
      <w:kern w:val="0"/>
      <w:sz w:val="2"/>
    </w:rPr>
  </w:style>
  <w:style w:type="character" w:customStyle="1" w:styleId="52">
    <w:name w:val="批注文字 Char"/>
    <w:link w:val="14"/>
    <w:qFormat/>
    <w:locked/>
    <w:uiPriority w:val="0"/>
    <w:rPr>
      <w:rFonts w:cs="Times New Roman"/>
      <w:kern w:val="2"/>
      <w:sz w:val="24"/>
    </w:rPr>
  </w:style>
  <w:style w:type="character" w:customStyle="1" w:styleId="53">
    <w:name w:val="正文文本 3 Char"/>
    <w:link w:val="15"/>
    <w:qFormat/>
    <w:locked/>
    <w:uiPriority w:val="0"/>
    <w:rPr>
      <w:rFonts w:cs="Times New Roman"/>
      <w:kern w:val="0"/>
      <w:sz w:val="16"/>
    </w:rPr>
  </w:style>
  <w:style w:type="character" w:customStyle="1" w:styleId="54">
    <w:name w:val="正文文本 Char"/>
    <w:link w:val="16"/>
    <w:qFormat/>
    <w:locked/>
    <w:uiPriority w:val="0"/>
    <w:rPr>
      <w:rFonts w:cs="Times New Roman"/>
      <w:kern w:val="0"/>
      <w:sz w:val="20"/>
    </w:rPr>
  </w:style>
  <w:style w:type="character" w:customStyle="1" w:styleId="55">
    <w:name w:val="正文文本缩进 Char"/>
    <w:link w:val="17"/>
    <w:qFormat/>
    <w:locked/>
    <w:uiPriority w:val="0"/>
    <w:rPr>
      <w:rFonts w:cs="Times New Roman"/>
      <w:kern w:val="0"/>
      <w:sz w:val="20"/>
    </w:rPr>
  </w:style>
  <w:style w:type="character" w:customStyle="1" w:styleId="56">
    <w:name w:val="纯文本 Char"/>
    <w:link w:val="21"/>
    <w:qFormat/>
    <w:locked/>
    <w:uiPriority w:val="0"/>
    <w:rPr>
      <w:rFonts w:ascii="宋体" w:hAnsi="Courier New" w:cs="Times New Roman"/>
      <w:kern w:val="2"/>
      <w:sz w:val="21"/>
    </w:rPr>
  </w:style>
  <w:style w:type="character" w:customStyle="1" w:styleId="57">
    <w:name w:val="日期 Char"/>
    <w:link w:val="23"/>
    <w:qFormat/>
    <w:locked/>
    <w:uiPriority w:val="0"/>
    <w:rPr>
      <w:rFonts w:eastAsia="仿宋_GB2312" w:cs="Times New Roman"/>
      <w:sz w:val="30"/>
    </w:rPr>
  </w:style>
  <w:style w:type="character" w:customStyle="1" w:styleId="58">
    <w:name w:val="正文文本缩进 2 Char"/>
    <w:link w:val="24"/>
    <w:qFormat/>
    <w:locked/>
    <w:uiPriority w:val="0"/>
    <w:rPr>
      <w:rFonts w:cs="Times New Roman"/>
      <w:kern w:val="0"/>
      <w:sz w:val="20"/>
    </w:rPr>
  </w:style>
  <w:style w:type="character" w:customStyle="1" w:styleId="59">
    <w:name w:val="批注框文本 Char"/>
    <w:link w:val="25"/>
    <w:qFormat/>
    <w:locked/>
    <w:uiPriority w:val="0"/>
    <w:rPr>
      <w:rFonts w:cs="Times New Roman"/>
      <w:kern w:val="0"/>
      <w:sz w:val="2"/>
    </w:rPr>
  </w:style>
  <w:style w:type="character" w:customStyle="1" w:styleId="60">
    <w:name w:val="页脚 Char"/>
    <w:link w:val="26"/>
    <w:qFormat/>
    <w:locked/>
    <w:uiPriority w:val="99"/>
    <w:rPr>
      <w:rFonts w:cs="Times New Roman"/>
      <w:sz w:val="18"/>
    </w:rPr>
  </w:style>
  <w:style w:type="character" w:customStyle="1" w:styleId="61">
    <w:name w:val="页眉 Char"/>
    <w:link w:val="27"/>
    <w:qFormat/>
    <w:locked/>
    <w:uiPriority w:val="0"/>
    <w:rPr>
      <w:rFonts w:cs="Times New Roman"/>
      <w:sz w:val="18"/>
    </w:rPr>
  </w:style>
  <w:style w:type="character" w:customStyle="1" w:styleId="62">
    <w:name w:val="正文文本缩进 3 Char"/>
    <w:link w:val="32"/>
    <w:qFormat/>
    <w:locked/>
    <w:uiPriority w:val="0"/>
    <w:rPr>
      <w:rFonts w:cs="Times New Roman"/>
      <w:kern w:val="0"/>
      <w:sz w:val="16"/>
    </w:rPr>
  </w:style>
  <w:style w:type="character" w:customStyle="1" w:styleId="63">
    <w:name w:val="正文文本 2 Char"/>
    <w:link w:val="35"/>
    <w:qFormat/>
    <w:locked/>
    <w:uiPriority w:val="0"/>
    <w:rPr>
      <w:rFonts w:cs="Times New Roman"/>
      <w:kern w:val="0"/>
      <w:sz w:val="20"/>
    </w:rPr>
  </w:style>
  <w:style w:type="character" w:customStyle="1" w:styleId="64">
    <w:name w:val="HTML 预设格式 Char"/>
    <w:link w:val="36"/>
    <w:locked/>
    <w:uiPriority w:val="99"/>
    <w:rPr>
      <w:rFonts w:ascii="宋体" w:eastAsia="宋体" w:cs="Times New Roman"/>
      <w:sz w:val="24"/>
    </w:rPr>
  </w:style>
  <w:style w:type="character" w:customStyle="1" w:styleId="65">
    <w:name w:val="标题 Char"/>
    <w:link w:val="38"/>
    <w:qFormat/>
    <w:locked/>
    <w:uiPriority w:val="0"/>
    <w:rPr>
      <w:rFonts w:ascii="Cambria" w:hAnsi="Cambria" w:cs="Times New Roman"/>
      <w:b/>
      <w:sz w:val="32"/>
    </w:rPr>
  </w:style>
  <w:style w:type="character" w:customStyle="1" w:styleId="66">
    <w:name w:val="left1"/>
    <w:uiPriority w:val="99"/>
    <w:rPr>
      <w:sz w:val="26"/>
    </w:rPr>
  </w:style>
  <w:style w:type="paragraph" w:customStyle="1" w:styleId="67">
    <w:name w:val="正文2"/>
    <w:qFormat/>
    <w:uiPriority w:val="99"/>
    <w:rPr>
      <w:rFonts w:ascii="Calibri" w:hAnsi="Calibri" w:eastAsia="等线" w:cs="Times New Roman"/>
      <w:sz w:val="24"/>
      <w:szCs w:val="24"/>
      <w:lang w:val="en-US" w:eastAsia="zh-CN" w:bidi="ar-SA"/>
    </w:rPr>
  </w:style>
  <w:style w:type="paragraph" w:customStyle="1" w:styleId="68">
    <w:name w:val="日期1"/>
    <w:basedOn w:val="1"/>
    <w:next w:val="1"/>
    <w:uiPriority w:val="99"/>
    <w:pPr>
      <w:widowControl w:val="0"/>
      <w:adjustRightInd w:val="0"/>
      <w:spacing w:line="360" w:lineRule="atLeast"/>
      <w:jc w:val="both"/>
      <w:textAlignment w:val="baseline"/>
    </w:pPr>
    <w:rPr>
      <w:rFonts w:ascii="黑体" w:eastAsia="黑体"/>
      <w:kern w:val="2"/>
      <w:sz w:val="32"/>
    </w:rPr>
  </w:style>
  <w:style w:type="paragraph" w:customStyle="1" w:styleId="69">
    <w:name w:val="列出段落1"/>
    <w:basedOn w:val="1"/>
    <w:qFormat/>
    <w:uiPriority w:val="0"/>
    <w:pPr>
      <w:widowControl w:val="0"/>
      <w:ind w:firstLine="420" w:firstLineChars="200"/>
      <w:jc w:val="both"/>
    </w:pPr>
    <w:rPr>
      <w:kern w:val="2"/>
      <w:sz w:val="21"/>
      <w:szCs w:val="22"/>
    </w:rPr>
  </w:style>
  <w:style w:type="paragraph" w:customStyle="1" w:styleId="70">
    <w:name w:val="正文1"/>
    <w:uiPriority w:val="0"/>
    <w:rPr>
      <w:rFonts w:ascii="Calibri" w:hAnsi="Calibri" w:eastAsia="等线" w:cs="Times New Roman"/>
      <w:sz w:val="24"/>
      <w:szCs w:val="24"/>
      <w:lang w:val="en-US" w:eastAsia="zh-CN" w:bidi="ar-SA"/>
    </w:rPr>
  </w:style>
  <w:style w:type="paragraph" w:customStyle="1" w:styleId="71">
    <w:name w:val="正文11"/>
    <w:qFormat/>
    <w:uiPriority w:val="99"/>
    <w:rPr>
      <w:rFonts w:ascii="Calibri" w:hAnsi="Calibri" w:eastAsia="等线" w:cs="Times New Roman"/>
      <w:sz w:val="24"/>
      <w:szCs w:val="24"/>
      <w:lang w:val="en-US" w:eastAsia="zh-CN" w:bidi="ar-SA"/>
    </w:rPr>
  </w:style>
  <w:style w:type="paragraph" w:customStyle="1" w:styleId="72">
    <w:name w:val="Default"/>
    <w:uiPriority w:val="99"/>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73">
    <w:name w:val="Char"/>
    <w:basedOn w:val="1"/>
    <w:uiPriority w:val="99"/>
    <w:pPr>
      <w:widowControl w:val="0"/>
      <w:jc w:val="both"/>
    </w:pPr>
    <w:rPr>
      <w:kern w:val="2"/>
      <w:sz w:val="21"/>
      <w:szCs w:val="24"/>
    </w:rPr>
  </w:style>
  <w:style w:type="paragraph" w:customStyle="1" w:styleId="74">
    <w:name w:val="_Style 2"/>
    <w:basedOn w:val="1"/>
    <w:qFormat/>
    <w:uiPriority w:val="99"/>
    <w:pPr>
      <w:widowControl w:val="0"/>
      <w:ind w:firstLine="420" w:firstLineChars="200"/>
      <w:jc w:val="both"/>
    </w:pPr>
    <w:rPr>
      <w:rFonts w:ascii="Calibri" w:hAnsi="Calibri"/>
      <w:kern w:val="2"/>
      <w:sz w:val="21"/>
      <w:szCs w:val="24"/>
    </w:rPr>
  </w:style>
  <w:style w:type="paragraph" w:customStyle="1" w:styleId="75">
    <w:name w:val="样式 标题 2 + Times New Roman 四号 非加粗 段前: 5 磅 段后: 0 磅 行距: 固定值 20..."/>
    <w:basedOn w:val="3"/>
    <w:uiPriority w:val="99"/>
    <w:pPr>
      <w:spacing w:before="100" w:after="0" w:line="400" w:lineRule="exact"/>
    </w:pPr>
    <w:rPr>
      <w:rFonts w:ascii="Times New Roman" w:hAnsi="Times New Roman"/>
      <w:b w:val="0"/>
      <w:sz w:val="28"/>
    </w:rPr>
  </w:style>
  <w:style w:type="paragraph" w:customStyle="1" w:styleId="76">
    <w:name w:val="newstyle15"/>
    <w:basedOn w:val="1"/>
    <w:qFormat/>
    <w:uiPriority w:val="99"/>
    <w:pPr>
      <w:spacing w:before="100" w:beforeAutospacing="1" w:after="100" w:afterAutospacing="1"/>
    </w:pPr>
    <w:rPr>
      <w:rFonts w:ascii="宋体" w:hAnsi="宋体" w:cs="宋体"/>
      <w:sz w:val="24"/>
      <w:szCs w:val="24"/>
    </w:rPr>
  </w:style>
  <w:style w:type="paragraph" w:customStyle="1" w:styleId="77">
    <w:name w:val="默认段落字体 Para Char Char Char Char Char Char Char Char Char1 Char Char Char Char"/>
    <w:basedOn w:val="1"/>
    <w:uiPriority w:val="99"/>
    <w:pPr>
      <w:widowControl w:val="0"/>
      <w:jc w:val="both"/>
    </w:pPr>
    <w:rPr>
      <w:rFonts w:ascii="Tahoma" w:hAnsi="Tahoma"/>
      <w:kern w:val="2"/>
      <w:sz w:val="24"/>
    </w:rPr>
  </w:style>
  <w:style w:type="paragraph" w:customStyle="1" w:styleId="78">
    <w:name w:val="p0"/>
    <w:basedOn w:val="1"/>
    <w:uiPriority w:val="99"/>
    <w:pPr>
      <w:jc w:val="both"/>
    </w:pPr>
    <w:rPr>
      <w:sz w:val="21"/>
      <w:szCs w:val="21"/>
    </w:rPr>
  </w:style>
  <w:style w:type="paragraph" w:customStyle="1" w:styleId="79">
    <w:name w:val="xl65"/>
    <w:basedOn w:val="1"/>
    <w:qFormat/>
    <w:uiPriority w:val="99"/>
    <w:pPr>
      <w:spacing w:before="100" w:beforeAutospacing="1" w:after="100" w:afterAutospacing="1"/>
    </w:pPr>
    <w:rPr>
      <w:rFonts w:ascii="宋体" w:hAnsi="宋体" w:cs="宋体"/>
      <w:sz w:val="24"/>
      <w:szCs w:val="24"/>
    </w:rPr>
  </w:style>
  <w:style w:type="character" w:customStyle="1" w:styleId="80">
    <w:name w:val="批注主题 Char"/>
    <w:link w:val="39"/>
    <w:qFormat/>
    <w:locked/>
    <w:uiPriority w:val="0"/>
    <w:rPr>
      <w:rFonts w:cs="Times New Roman"/>
      <w:b/>
      <w:kern w:val="2"/>
      <w:sz w:val="24"/>
    </w:rPr>
  </w:style>
  <w:style w:type="paragraph" w:customStyle="1" w:styleId="81">
    <w:name w:val="正文缩进1"/>
    <w:basedOn w:val="70"/>
    <w:qFormat/>
    <w:uiPriority w:val="99"/>
    <w:pPr>
      <w:widowControl w:val="0"/>
      <w:adjustRightInd w:val="0"/>
      <w:spacing w:line="360" w:lineRule="atLeast"/>
      <w:ind w:firstLine="420"/>
      <w:jc w:val="both"/>
      <w:textAlignment w:val="baseline"/>
    </w:pPr>
    <w:rPr>
      <w:rFonts w:ascii="等线" w:hAnsi="等线"/>
      <w:kern w:val="2"/>
      <w:sz w:val="21"/>
      <w:szCs w:val="20"/>
    </w:rPr>
  </w:style>
  <w:style w:type="character" w:customStyle="1" w:styleId="82">
    <w:name w:val="标题 4 Char"/>
    <w:basedOn w:val="42"/>
    <w:link w:val="5"/>
    <w:qFormat/>
    <w:uiPriority w:val="0"/>
    <w:rPr>
      <w:rFonts w:ascii="Cambria" w:hAnsi="Cambria" w:eastAsia="宋体"/>
      <w:b/>
      <w:bCs/>
      <w:sz w:val="28"/>
      <w:szCs w:val="28"/>
    </w:rPr>
  </w:style>
  <w:style w:type="character" w:customStyle="1" w:styleId="83">
    <w:name w:val="标题 5 Char"/>
    <w:basedOn w:val="42"/>
    <w:link w:val="6"/>
    <w:qFormat/>
    <w:uiPriority w:val="0"/>
    <w:rPr>
      <w:rFonts w:ascii="Times New Roman" w:hAnsi="Times New Roman" w:eastAsia="宋体"/>
      <w:b/>
      <w:bCs/>
      <w:sz w:val="28"/>
      <w:szCs w:val="28"/>
    </w:rPr>
  </w:style>
  <w:style w:type="character" w:customStyle="1" w:styleId="84">
    <w:name w:val="标题 6 Char"/>
    <w:basedOn w:val="42"/>
    <w:link w:val="7"/>
    <w:qFormat/>
    <w:uiPriority w:val="0"/>
    <w:rPr>
      <w:rFonts w:ascii="Arial" w:hAnsi="Arial" w:eastAsia="黑体"/>
      <w:b/>
      <w:sz w:val="24"/>
    </w:rPr>
  </w:style>
  <w:style w:type="character" w:customStyle="1" w:styleId="85">
    <w:name w:val="标题 7 Char"/>
    <w:basedOn w:val="42"/>
    <w:link w:val="8"/>
    <w:qFormat/>
    <w:uiPriority w:val="0"/>
    <w:rPr>
      <w:rFonts w:ascii="Times New Roman" w:hAnsi="Times New Roman" w:eastAsia="宋体"/>
      <w:b/>
      <w:sz w:val="24"/>
    </w:rPr>
  </w:style>
  <w:style w:type="character" w:customStyle="1" w:styleId="86">
    <w:name w:val="标题 8 Char"/>
    <w:basedOn w:val="42"/>
    <w:link w:val="9"/>
    <w:qFormat/>
    <w:uiPriority w:val="0"/>
    <w:rPr>
      <w:rFonts w:ascii="Arial" w:hAnsi="Arial" w:eastAsia="黑体"/>
      <w:kern w:val="2"/>
      <w:sz w:val="24"/>
    </w:rPr>
  </w:style>
  <w:style w:type="character" w:customStyle="1" w:styleId="87">
    <w:name w:val="标题 9 Char"/>
    <w:basedOn w:val="42"/>
    <w:link w:val="10"/>
    <w:qFormat/>
    <w:uiPriority w:val="0"/>
    <w:rPr>
      <w:rFonts w:ascii="Arial" w:hAnsi="Arial" w:eastAsia="黑体"/>
      <w:sz w:val="21"/>
    </w:rPr>
  </w:style>
  <w:style w:type="paragraph" w:customStyle="1" w:styleId="88">
    <w:name w:val="xl31"/>
    <w:basedOn w:val="1"/>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eastAsia="宋体"/>
      <w:sz w:val="24"/>
      <w:szCs w:val="24"/>
    </w:rPr>
  </w:style>
  <w:style w:type="paragraph" w:customStyle="1" w:styleId="89">
    <w:name w:val="font6"/>
    <w:basedOn w:val="1"/>
    <w:qFormat/>
    <w:uiPriority w:val="0"/>
    <w:pPr>
      <w:spacing w:before="100" w:beforeAutospacing="1" w:after="100" w:afterAutospacing="1"/>
    </w:pPr>
    <w:rPr>
      <w:rFonts w:ascii="Times New Roman" w:hAnsi="Times New Roman" w:eastAsia="宋体"/>
      <w:sz w:val="24"/>
      <w:szCs w:val="24"/>
    </w:rPr>
  </w:style>
  <w:style w:type="paragraph" w:customStyle="1" w:styleId="90">
    <w:name w:val="Char Char Char Char Char Char"/>
    <w:basedOn w:val="1"/>
    <w:qFormat/>
    <w:uiPriority w:val="0"/>
    <w:pPr>
      <w:spacing w:after="160" w:line="240" w:lineRule="exact"/>
    </w:pPr>
    <w:rPr>
      <w:rFonts w:ascii="Arial" w:hAnsi="Arial" w:eastAsia="Times New Roman" w:cs="Verdana"/>
      <w:b/>
      <w:sz w:val="21"/>
      <w:lang w:eastAsia="en-US"/>
    </w:rPr>
  </w:style>
  <w:style w:type="paragraph" w:customStyle="1" w:styleId="91">
    <w:name w:val="Blockquote"/>
    <w:basedOn w:val="1"/>
    <w:qFormat/>
    <w:uiPriority w:val="0"/>
    <w:pPr>
      <w:widowControl w:val="0"/>
      <w:autoSpaceDE w:val="0"/>
      <w:autoSpaceDN w:val="0"/>
      <w:adjustRightInd w:val="0"/>
      <w:spacing w:before="100" w:after="100"/>
      <w:ind w:left="360" w:right="360"/>
    </w:pPr>
    <w:rPr>
      <w:rFonts w:ascii="Times New Roman" w:hAnsi="Times New Roman" w:eastAsia="宋体"/>
      <w:sz w:val="24"/>
    </w:rPr>
  </w:style>
  <w:style w:type="character" w:customStyle="1" w:styleId="92">
    <w:name w:val="标题4 Char Char"/>
    <w:link w:val="93"/>
    <w:qFormat/>
    <w:uiPriority w:val="0"/>
    <w:rPr>
      <w:rFonts w:ascii="Arial" w:hAnsi="Arial"/>
      <w:b/>
      <w:bCs/>
      <w:sz w:val="24"/>
      <w:szCs w:val="32"/>
    </w:rPr>
  </w:style>
  <w:style w:type="paragraph" w:customStyle="1" w:styleId="93">
    <w:name w:val="标题4"/>
    <w:basedOn w:val="3"/>
    <w:next w:val="18"/>
    <w:link w:val="92"/>
    <w:qFormat/>
    <w:uiPriority w:val="0"/>
    <w:pPr>
      <w:spacing w:line="413" w:lineRule="auto"/>
    </w:pPr>
    <w:rPr>
      <w:rFonts w:eastAsia="等线"/>
      <w:bCs/>
      <w:kern w:val="0"/>
      <w:sz w:val="24"/>
      <w:szCs w:val="32"/>
    </w:rPr>
  </w:style>
  <w:style w:type="character" w:customStyle="1" w:styleId="94">
    <w:name w:val="批注主题 Char1"/>
    <w:basedOn w:val="52"/>
    <w:qFormat/>
    <w:uiPriority w:val="0"/>
    <w:rPr>
      <w:rFonts w:cs="Times New Roman"/>
      <w:b/>
      <w:bCs/>
      <w:kern w:val="2"/>
      <w:sz w:val="24"/>
    </w:rPr>
  </w:style>
  <w:style w:type="character" w:customStyle="1" w:styleId="95">
    <w:name w:val="批注文字 Char3"/>
    <w:basedOn w:val="42"/>
    <w:qFormat/>
    <w:uiPriority w:val="0"/>
  </w:style>
  <w:style w:type="character" w:customStyle="1" w:styleId="96">
    <w:name w:val="标题 Char1"/>
    <w:basedOn w:val="42"/>
    <w:qFormat/>
    <w:uiPriority w:val="0"/>
    <w:rPr>
      <w:rFonts w:ascii="Cambria" w:hAnsi="Cambria" w:cs="Times New Roman"/>
      <w:b/>
      <w:bCs/>
      <w:sz w:val="32"/>
      <w:szCs w:val="32"/>
    </w:rPr>
  </w:style>
  <w:style w:type="character" w:customStyle="1" w:styleId="97">
    <w:name w:val="批注主题 Char2"/>
    <w:basedOn w:val="98"/>
    <w:qFormat/>
    <w:uiPriority w:val="0"/>
  </w:style>
  <w:style w:type="character" w:customStyle="1" w:styleId="98">
    <w:name w:val="批注文字 Char2"/>
    <w:basedOn w:val="42"/>
    <w:qFormat/>
    <w:uiPriority w:val="0"/>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spacing w:line="413" w:lineRule="auto"/>
      <w:jc w:val="both"/>
    </w:pPr>
    <w:rPr>
      <w:rFonts w:ascii="Arial" w:hAnsi="Arial"/>
      <w:bCs/>
      <w:kern w:val="0"/>
      <w:sz w:val="24"/>
      <w:szCs w:val="32"/>
    </w:rPr>
  </w:style>
  <w:style w:type="character" w:customStyle="1" w:styleId="101">
    <w:name w:val="正文文本 3 Char1"/>
    <w:basedOn w:val="42"/>
    <w:qFormat/>
    <w:uiPriority w:val="0"/>
    <w:rPr>
      <w:sz w:val="16"/>
      <w:szCs w:val="16"/>
    </w:rPr>
  </w:style>
  <w:style w:type="character" w:customStyle="1" w:styleId="102">
    <w:name w:val="日期 Char1"/>
    <w:basedOn w:val="42"/>
    <w:qFormat/>
    <w:uiPriority w:val="0"/>
  </w:style>
  <w:style w:type="character" w:customStyle="1" w:styleId="103">
    <w:name w:val="副标题 Char"/>
    <w:link w:val="30"/>
    <w:qFormat/>
    <w:uiPriority w:val="0"/>
    <w:rPr>
      <w:rFonts w:ascii="Cambria" w:hAnsi="Cambria"/>
      <w:b/>
      <w:bCs/>
      <w:kern w:val="28"/>
      <w:sz w:val="32"/>
      <w:szCs w:val="32"/>
    </w:rPr>
  </w:style>
  <w:style w:type="character" w:customStyle="1" w:styleId="104">
    <w:name w:val="副标题 Char1"/>
    <w:basedOn w:val="42"/>
    <w:qFormat/>
    <w:uiPriority w:val="0"/>
    <w:rPr>
      <w:rFonts w:eastAsia="宋体" w:asciiTheme="majorHAnsi" w:hAnsiTheme="majorHAnsi" w:cstheme="majorBidi"/>
      <w:b/>
      <w:bCs/>
      <w:kern w:val="28"/>
      <w:sz w:val="32"/>
      <w:szCs w:val="32"/>
    </w:rPr>
  </w:style>
  <w:style w:type="character" w:customStyle="1" w:styleId="105">
    <w:name w:val="引用 Char"/>
    <w:link w:val="106"/>
    <w:qFormat/>
    <w:uiPriority w:val="0"/>
    <w:rPr>
      <w:i/>
      <w:iCs/>
      <w:color w:val="000000"/>
      <w:kern w:val="2"/>
      <w:sz w:val="21"/>
      <w:szCs w:val="22"/>
    </w:rPr>
  </w:style>
  <w:style w:type="paragraph" w:styleId="106">
    <w:name w:val="Quote"/>
    <w:basedOn w:val="1"/>
    <w:next w:val="1"/>
    <w:link w:val="105"/>
    <w:qFormat/>
    <w:uiPriority w:val="0"/>
    <w:pPr>
      <w:widowControl w:val="0"/>
      <w:jc w:val="both"/>
    </w:pPr>
    <w:rPr>
      <w:i/>
      <w:iCs/>
      <w:color w:val="000000"/>
      <w:kern w:val="2"/>
      <w:sz w:val="21"/>
      <w:szCs w:val="22"/>
    </w:rPr>
  </w:style>
  <w:style w:type="character" w:customStyle="1" w:styleId="107">
    <w:name w:val="引用 Char1"/>
    <w:basedOn w:val="42"/>
    <w:qFormat/>
    <w:uiPriority w:val="29"/>
    <w:rPr>
      <w:i/>
      <w:iCs/>
      <w:color w:val="000000" w:themeColor="text1"/>
      <w14:textFill>
        <w14:solidFill>
          <w14:schemeClr w14:val="tx1"/>
        </w14:solidFill>
      </w14:textFill>
    </w:rPr>
  </w:style>
  <w:style w:type="character" w:customStyle="1" w:styleId="108">
    <w:name w:val="明显引用 Char"/>
    <w:link w:val="109"/>
    <w:qFormat/>
    <w:uiPriority w:val="0"/>
    <w:rPr>
      <w:b/>
      <w:bCs/>
      <w:i/>
      <w:iCs/>
      <w:color w:val="4F81BD"/>
      <w:kern w:val="2"/>
      <w:sz w:val="21"/>
      <w:szCs w:val="22"/>
    </w:rPr>
  </w:style>
  <w:style w:type="paragraph" w:styleId="109">
    <w:name w:val="Intense Quote"/>
    <w:basedOn w:val="1"/>
    <w:next w:val="1"/>
    <w:link w:val="108"/>
    <w:qFormat/>
    <w:uiPriority w:val="0"/>
    <w:pPr>
      <w:widowControl w:val="0"/>
      <w:pBdr>
        <w:bottom w:val="single" w:color="4F81BD" w:sz="4" w:space="4"/>
      </w:pBdr>
      <w:spacing w:before="200" w:after="280"/>
      <w:ind w:left="936" w:right="936"/>
      <w:jc w:val="both"/>
    </w:pPr>
    <w:rPr>
      <w:b/>
      <w:bCs/>
      <w:i/>
      <w:iCs/>
      <w:color w:val="4F81BD"/>
      <w:kern w:val="2"/>
      <w:sz w:val="21"/>
      <w:szCs w:val="22"/>
    </w:rPr>
  </w:style>
  <w:style w:type="character" w:customStyle="1" w:styleId="110">
    <w:name w:val="明显引用 Char1"/>
    <w:basedOn w:val="42"/>
    <w:qFormat/>
    <w:uiPriority w:val="30"/>
    <w:rPr>
      <w:b/>
      <w:bCs/>
      <w:i/>
      <w:iCs/>
      <w:color w:val="4F81BD" w:themeColor="accent1"/>
      <w14:textFill>
        <w14:solidFill>
          <w14:schemeClr w14:val="accent1"/>
        </w14:solidFill>
      </w14:textFill>
    </w:rPr>
  </w:style>
  <w:style w:type="character" w:customStyle="1" w:styleId="111">
    <w:name w:val="批注主题 Char3"/>
    <w:basedOn w:val="95"/>
    <w:qFormat/>
    <w:uiPriority w:val="0"/>
    <w:rPr>
      <w:b/>
      <w:bCs/>
    </w:rPr>
  </w:style>
  <w:style w:type="character" w:customStyle="1" w:styleId="112">
    <w:name w:val="引用 Char2"/>
    <w:basedOn w:val="42"/>
    <w:qFormat/>
    <w:uiPriority w:val="29"/>
    <w:rPr>
      <w:i/>
      <w:iCs/>
      <w:color w:val="000000"/>
    </w:rPr>
  </w:style>
  <w:style w:type="character" w:customStyle="1" w:styleId="113">
    <w:name w:val="副标题 Char2"/>
    <w:basedOn w:val="42"/>
    <w:qFormat/>
    <w:uiPriority w:val="0"/>
    <w:rPr>
      <w:rFonts w:ascii="Cambria" w:hAnsi="Cambria" w:cs="Times New Roman"/>
      <w:b/>
      <w:bCs/>
      <w:kern w:val="28"/>
      <w:sz w:val="32"/>
      <w:szCs w:val="32"/>
    </w:rPr>
  </w:style>
  <w:style w:type="character" w:customStyle="1" w:styleId="114">
    <w:name w:val="正文文本 3 Char2"/>
    <w:basedOn w:val="42"/>
    <w:qFormat/>
    <w:uiPriority w:val="0"/>
    <w:rPr>
      <w:sz w:val="16"/>
      <w:szCs w:val="16"/>
    </w:rPr>
  </w:style>
  <w:style w:type="character" w:customStyle="1" w:styleId="115">
    <w:name w:val="明显引用 Char2"/>
    <w:basedOn w:val="42"/>
    <w:qFormat/>
    <w:uiPriority w:val="30"/>
    <w:rPr>
      <w:b/>
      <w:bCs/>
      <w:i/>
      <w:iCs/>
      <w:color w:val="4F81BD"/>
    </w:rPr>
  </w:style>
  <w:style w:type="character" w:customStyle="1" w:styleId="116">
    <w:name w:val="日期 Char2"/>
    <w:basedOn w:val="42"/>
    <w:qFormat/>
    <w:uiPriority w:val="0"/>
  </w:style>
  <w:style w:type="character" w:customStyle="1" w:styleId="117">
    <w:name w:val="rvts10"/>
    <w:basedOn w:val="42"/>
    <w:qFormat/>
    <w:uiPriority w:val="0"/>
    <w:rPr>
      <w:rFonts w:hint="default" w:ascii="KNLe" w:hAnsi="KNLe"/>
      <w:b/>
      <w:bCs/>
    </w:rPr>
  </w:style>
  <w:style w:type="character" w:customStyle="1" w:styleId="118">
    <w:name w:val="rvts18"/>
    <w:basedOn w:val="42"/>
    <w:qFormat/>
    <w:uiPriority w:val="0"/>
    <w:rPr>
      <w:rFonts w:hint="default" w:ascii="Times New Roman" w:hAnsi="Times New Roman" w:cs="Times New Roman"/>
      <w:b/>
      <w:bCs/>
    </w:rPr>
  </w:style>
  <w:style w:type="character" w:customStyle="1" w:styleId="119">
    <w:name w:val="rvts20"/>
    <w:basedOn w:val="42"/>
    <w:qFormat/>
    <w:uiPriority w:val="0"/>
    <w:rPr>
      <w:rFonts w:hint="default" w:ascii="Times New Roman" w:hAnsi="Times New Roman" w:cs="Times New Roman"/>
      <w:b/>
      <w:bCs/>
      <w:sz w:val="36"/>
      <w:szCs w:val="36"/>
    </w:rPr>
  </w:style>
  <w:style w:type="character" w:customStyle="1" w:styleId="120">
    <w:name w:val="rvts9"/>
    <w:basedOn w:val="42"/>
    <w:qFormat/>
    <w:uiPriority w:val="0"/>
    <w:rPr>
      <w:rFonts w:hint="default" w:ascii="KNLe" w:hAnsi="KNLe"/>
    </w:rPr>
  </w:style>
  <w:style w:type="character" w:customStyle="1" w:styleId="121">
    <w:name w:val="rvts13"/>
    <w:basedOn w:val="42"/>
    <w:qFormat/>
    <w:uiPriority w:val="0"/>
    <w:rPr>
      <w:rFonts w:hint="default" w:ascii="Times New Roman" w:hAnsi="Times New Roman" w:cs="Times New Roman"/>
    </w:rPr>
  </w:style>
  <w:style w:type="paragraph" w:customStyle="1" w:styleId="122">
    <w:name w:val="rvps1"/>
    <w:basedOn w:val="1"/>
    <w:qFormat/>
    <w:uiPriority w:val="0"/>
    <w:pPr>
      <w:jc w:val="center"/>
    </w:pPr>
    <w:rPr>
      <w:rFonts w:ascii="Times New Roman" w:hAnsi="Times New Roman" w:eastAsia="宋体"/>
      <w:sz w:val="24"/>
      <w:szCs w:val="24"/>
    </w:rPr>
  </w:style>
  <w:style w:type="paragraph" w:styleId="123">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24">
    <w:name w:val="pubdate-day"/>
    <w:basedOn w:val="42"/>
    <w:qFormat/>
    <w:uiPriority w:val="0"/>
    <w:rPr>
      <w:shd w:val="clear" w:fill="F2F2F2"/>
    </w:rPr>
  </w:style>
  <w:style w:type="character" w:customStyle="1" w:styleId="125">
    <w:name w:val="news_title"/>
    <w:basedOn w:val="42"/>
    <w:qFormat/>
    <w:uiPriority w:val="0"/>
  </w:style>
  <w:style w:type="character" w:customStyle="1" w:styleId="126">
    <w:name w:val="news_meta"/>
    <w:basedOn w:val="42"/>
    <w:qFormat/>
    <w:uiPriority w:val="0"/>
  </w:style>
  <w:style w:type="character" w:customStyle="1" w:styleId="127">
    <w:name w:val="item-name"/>
    <w:basedOn w:val="42"/>
    <w:qFormat/>
    <w:uiPriority w:val="0"/>
  </w:style>
  <w:style w:type="character" w:customStyle="1" w:styleId="128">
    <w:name w:val="item-name1"/>
    <w:basedOn w:val="42"/>
    <w:qFormat/>
    <w:uiPriority w:val="0"/>
  </w:style>
  <w:style w:type="character" w:customStyle="1" w:styleId="129">
    <w:name w:val="item-name2"/>
    <w:basedOn w:val="42"/>
    <w:qFormat/>
    <w:uiPriority w:val="0"/>
  </w:style>
  <w:style w:type="character" w:customStyle="1" w:styleId="130">
    <w:name w:val="item-name3"/>
    <w:basedOn w:val="42"/>
    <w:qFormat/>
    <w:uiPriority w:val="0"/>
  </w:style>
  <w:style w:type="character" w:customStyle="1" w:styleId="131">
    <w:name w:val="item-name4"/>
    <w:basedOn w:val="42"/>
    <w:qFormat/>
    <w:uiPriority w:val="0"/>
  </w:style>
  <w:style w:type="character" w:customStyle="1" w:styleId="132">
    <w:name w:val="item-name5"/>
    <w:basedOn w:val="42"/>
    <w:qFormat/>
    <w:uiPriority w:val="0"/>
  </w:style>
  <w:style w:type="character" w:customStyle="1" w:styleId="133">
    <w:name w:val="item-name6"/>
    <w:basedOn w:val="42"/>
    <w:qFormat/>
    <w:uiPriority w:val="0"/>
  </w:style>
  <w:style w:type="character" w:customStyle="1" w:styleId="134">
    <w:name w:val="pubdate-month"/>
    <w:basedOn w:val="42"/>
    <w:qFormat/>
    <w:uiPriority w:val="0"/>
    <w:rPr>
      <w:color w:val="FFFFFF"/>
      <w:sz w:val="24"/>
      <w:szCs w:val="24"/>
      <w:shd w:val="clear" w:fill="CC0000"/>
    </w:rPr>
  </w:style>
  <w:style w:type="character" w:customStyle="1" w:styleId="135">
    <w:name w:val="news_title4"/>
    <w:basedOn w:val="42"/>
    <w:qFormat/>
    <w:uiPriority w:val="0"/>
  </w:style>
  <w:style w:type="character" w:customStyle="1" w:styleId="136">
    <w:name w:val="news_meta2"/>
    <w:basedOn w:val="4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744FE-BBAA-49B0-B045-82B2B2BC23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3833</Words>
  <Characters>21851</Characters>
  <Lines>182</Lines>
  <Paragraphs>51</Paragraphs>
  <TotalTime>17</TotalTime>
  <ScaleCrop>false</ScaleCrop>
  <LinksUpToDate>false</LinksUpToDate>
  <CharactersWithSpaces>25633</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2019-07-25T09:25:00Z</dcterms:created>
  <dc:creator>微软（中国）有限公司</dc:creator>
  <cp:lastModifiedBy>luhaiyang</cp:lastModifiedBy>
  <cp:lastPrinted>2019-06-28T01:48:00Z</cp:lastPrinted>
  <dcterms:modified xsi:type="dcterms:W3CDTF">2019-07-25T14:13:11Z</dcterms:modified>
  <dc:title>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