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仿宋" w:hAnsi="仿宋" w:eastAsia="仿宋"/>
          <w:b/>
          <w:sz w:val="36"/>
        </w:rPr>
      </w:pPr>
      <w:r>
        <w:rPr>
          <w:rFonts w:ascii="仿宋" w:hAnsi="仿宋" w:eastAsia="仿宋"/>
          <w:b/>
          <w:sz w:val="36"/>
        </w:rPr>
        <w:t>南京大学</w:t>
      </w:r>
      <w:r>
        <w:rPr>
          <w:rFonts w:hint="eastAsia" w:ascii="仿宋" w:hAnsi="仿宋" w:eastAsia="仿宋"/>
          <w:b/>
          <w:sz w:val="36"/>
        </w:rPr>
        <w:t>浦口校区三食堂西北风味餐厅（清真）厨房设备及不锈钢制品招标</w:t>
      </w:r>
      <w:r>
        <w:rPr>
          <w:rFonts w:hint="eastAsia" w:ascii="仿宋" w:hAnsi="仿宋" w:eastAsia="仿宋"/>
          <w:b/>
          <w:sz w:val="36"/>
          <w:lang w:val="en-US" w:eastAsia="zh-CN"/>
        </w:rPr>
        <w:t>采购</w:t>
      </w:r>
      <w:r>
        <w:rPr>
          <w:rFonts w:hint="eastAsia" w:ascii="仿宋" w:hAnsi="仿宋" w:eastAsia="仿宋"/>
          <w:b/>
          <w:sz w:val="36"/>
        </w:rPr>
        <w:t>要求</w:t>
      </w:r>
    </w:p>
    <w:p>
      <w:pPr>
        <w:spacing w:line="288" w:lineRule="auto"/>
        <w:jc w:val="center"/>
        <w:rPr>
          <w:rFonts w:ascii="仿宋" w:hAnsi="仿宋" w:eastAsia="仿宋"/>
          <w:sz w:val="36"/>
        </w:rPr>
      </w:pPr>
    </w:p>
    <w:p>
      <w:pPr>
        <w:pStyle w:val="16"/>
        <w:numPr>
          <w:ilvl w:val="0"/>
          <w:numId w:val="1"/>
        </w:numPr>
        <w:spacing w:line="288" w:lineRule="auto"/>
        <w:ind w:firstLineChars="0"/>
        <w:rPr>
          <w:rFonts w:ascii="仿宋" w:hAnsi="仿宋" w:eastAsia="仿宋"/>
          <w:b/>
          <w:sz w:val="24"/>
          <w:szCs w:val="24"/>
        </w:rPr>
      </w:pPr>
      <w:r>
        <w:rPr>
          <w:rFonts w:hint="eastAsia" w:ascii="仿宋" w:hAnsi="仿宋" w:eastAsia="仿宋"/>
          <w:b/>
          <w:sz w:val="24"/>
          <w:szCs w:val="24"/>
        </w:rPr>
        <w:t>本次招标采购拟实现的功能和目标</w:t>
      </w:r>
    </w:p>
    <w:p>
      <w:pPr>
        <w:spacing w:line="288" w:lineRule="auto"/>
        <w:ind w:firstLine="480" w:firstLineChars="200"/>
        <w:jc w:val="left"/>
        <w:rPr>
          <w:rFonts w:ascii="仿宋" w:hAnsi="仿宋" w:eastAsia="仿宋" w:cs="仿宋"/>
          <w:kern w:val="0"/>
          <w:sz w:val="24"/>
          <w:szCs w:val="24"/>
        </w:rPr>
      </w:pPr>
      <w:bookmarkStart w:id="0" w:name="_Hlk118987570"/>
      <w:r>
        <w:rPr>
          <w:rFonts w:hint="eastAsia" w:ascii="仿宋" w:hAnsi="仿宋" w:eastAsia="仿宋" w:cs="仿宋"/>
          <w:kern w:val="0"/>
          <w:sz w:val="24"/>
          <w:szCs w:val="24"/>
        </w:rPr>
        <w:t>采购浦口校区三食堂西北风味餐厅的厨房设备及不锈钢制品，如燃气双眼炒灶、燃气双眼大锅灶、长龙式洗碗机、消毒柜、消毒车、绞肉机、保温台、双星水池、冰箱以及锅碗等设备，所购设备需要安装调试以及给食堂工作人员培训，具体设备数量、规格以及技术性能要求详见采购清单附件。</w:t>
      </w:r>
      <w:bookmarkEnd w:id="0"/>
    </w:p>
    <w:p>
      <w:pPr>
        <w:pStyle w:val="2"/>
        <w:spacing w:line="288" w:lineRule="auto"/>
      </w:pPr>
    </w:p>
    <w:p>
      <w:pPr>
        <w:spacing w:line="288" w:lineRule="auto"/>
        <w:rPr>
          <w:rFonts w:ascii="仿宋" w:hAnsi="仿宋" w:eastAsia="仿宋"/>
          <w:sz w:val="24"/>
          <w:szCs w:val="24"/>
        </w:rPr>
      </w:pPr>
      <w:r>
        <w:rPr>
          <w:rFonts w:hint="eastAsia" w:ascii="仿宋" w:hAnsi="仿宋" w:eastAsia="仿宋"/>
          <w:b/>
          <w:sz w:val="24"/>
          <w:szCs w:val="24"/>
        </w:rPr>
        <w:t>二、</w:t>
      </w:r>
      <w:r>
        <w:rPr>
          <w:rFonts w:hint="eastAsia" w:ascii="仿宋" w:hAnsi="仿宋" w:eastAsia="仿宋" w:cs="仿宋"/>
          <w:sz w:val="24"/>
          <w:szCs w:val="24"/>
        </w:rPr>
        <w:t>★</w:t>
      </w:r>
      <w:r>
        <w:rPr>
          <w:rFonts w:hint="eastAsia" w:ascii="仿宋" w:hAnsi="仿宋" w:eastAsia="仿宋"/>
          <w:b/>
          <w:sz w:val="24"/>
          <w:szCs w:val="24"/>
        </w:rPr>
        <w:t>厨房机械设备及不锈钢设备商务要求</w:t>
      </w:r>
    </w:p>
    <w:p>
      <w:pPr>
        <w:pStyle w:val="8"/>
        <w:spacing w:line="288" w:lineRule="auto"/>
        <w:ind w:firstLine="480" w:firstLineChars="200"/>
        <w:rPr>
          <w:rFonts w:ascii="仿宋" w:hAnsi="仿宋" w:eastAsia="仿宋" w:cs="仿宋"/>
          <w:sz w:val="24"/>
          <w:szCs w:val="24"/>
        </w:rPr>
      </w:pPr>
      <w:r>
        <w:rPr>
          <w:rFonts w:hint="eastAsia" w:ascii="仿宋" w:hAnsi="仿宋" w:eastAsia="仿宋" w:cs="仿宋"/>
          <w:sz w:val="24"/>
          <w:szCs w:val="24"/>
        </w:rPr>
        <w:t>1、供货周期/工期：20天。</w:t>
      </w:r>
    </w:p>
    <w:p>
      <w:pPr>
        <w:pStyle w:val="8"/>
        <w:spacing w:line="288" w:lineRule="auto"/>
        <w:ind w:firstLine="480" w:firstLineChars="200"/>
        <w:rPr>
          <w:rFonts w:ascii="仿宋" w:hAnsi="仿宋" w:eastAsia="仿宋" w:cs="仿宋"/>
          <w:sz w:val="24"/>
          <w:szCs w:val="24"/>
        </w:rPr>
      </w:pPr>
      <w:r>
        <w:rPr>
          <w:rFonts w:hint="eastAsia" w:ascii="仿宋" w:hAnsi="仿宋" w:eastAsia="仿宋" w:cs="仿宋"/>
          <w:sz w:val="24"/>
          <w:szCs w:val="24"/>
        </w:rPr>
        <w:t>2、交货地点：</w:t>
      </w:r>
      <w:r>
        <w:rPr>
          <w:rFonts w:hint="eastAsia" w:ascii="仿宋" w:hAnsi="仿宋" w:eastAsia="仿宋"/>
          <w:sz w:val="24"/>
          <w:szCs w:val="24"/>
        </w:rPr>
        <w:t>南京大学浦口校区校方指定地点</w:t>
      </w:r>
    </w:p>
    <w:p>
      <w:pPr>
        <w:pStyle w:val="8"/>
        <w:spacing w:line="288" w:lineRule="auto"/>
        <w:ind w:firstLine="480" w:firstLineChars="200"/>
        <w:rPr>
          <w:rFonts w:ascii="仿宋" w:hAnsi="仿宋" w:eastAsia="仿宋" w:cs="仿宋"/>
          <w:sz w:val="24"/>
          <w:szCs w:val="24"/>
        </w:rPr>
      </w:pPr>
      <w:r>
        <w:rPr>
          <w:rFonts w:hint="eastAsia" w:ascii="仿宋" w:hAnsi="仿宋" w:eastAsia="仿宋" w:cs="仿宋"/>
          <w:sz w:val="24"/>
          <w:szCs w:val="24"/>
        </w:rPr>
        <w:t>3、保质期：</w:t>
      </w:r>
      <w:r>
        <w:rPr>
          <w:rFonts w:hint="eastAsia" w:ascii="仿宋" w:hAnsi="仿宋" w:eastAsia="仿宋" w:cs="仿宋"/>
          <w:b/>
          <w:bCs/>
          <w:sz w:val="24"/>
          <w:szCs w:val="24"/>
        </w:rPr>
        <w:t>保修至少三年，提供免费上门保养及维修。</w:t>
      </w:r>
      <w:r>
        <w:rPr>
          <w:rFonts w:ascii="仿宋" w:hAnsi="仿宋" w:eastAsia="仿宋"/>
          <w:sz w:val="24"/>
          <w:szCs w:val="24"/>
        </w:rPr>
        <w:t>此标准为最低标准，各投标人也可根据自身情况报最长质量保证期</w:t>
      </w:r>
      <w:r>
        <w:rPr>
          <w:rFonts w:hint="eastAsia" w:ascii="仿宋" w:hAnsi="仿宋" w:eastAsia="仿宋"/>
          <w:sz w:val="24"/>
          <w:szCs w:val="24"/>
        </w:rPr>
        <w:t>。</w:t>
      </w:r>
    </w:p>
    <w:p>
      <w:pPr>
        <w:pStyle w:val="8"/>
        <w:spacing w:line="288" w:lineRule="auto"/>
        <w:ind w:firstLine="480" w:firstLineChars="200"/>
        <w:rPr>
          <w:rFonts w:ascii="仿宋" w:hAnsi="仿宋" w:eastAsia="仿宋" w:cs="仿宋"/>
          <w:sz w:val="24"/>
          <w:szCs w:val="24"/>
        </w:rPr>
      </w:pPr>
      <w:r>
        <w:rPr>
          <w:rFonts w:hint="eastAsia" w:ascii="仿宋" w:hAnsi="仿宋" w:eastAsia="仿宋" w:cs="仿宋"/>
          <w:sz w:val="24"/>
          <w:szCs w:val="24"/>
        </w:rPr>
        <w:t>4、培训要求：要求操作培训，直至操作人员能熟练操作</w:t>
      </w:r>
    </w:p>
    <w:p>
      <w:pPr>
        <w:pStyle w:val="8"/>
        <w:spacing w:line="288" w:lineRule="auto"/>
        <w:ind w:firstLine="480" w:firstLineChars="200"/>
        <w:rPr>
          <w:rFonts w:ascii="仿宋" w:hAnsi="仿宋" w:eastAsia="仿宋" w:cs="仿宋"/>
          <w:sz w:val="24"/>
          <w:szCs w:val="24"/>
        </w:rPr>
      </w:pPr>
      <w:r>
        <w:rPr>
          <w:rFonts w:hint="eastAsia" w:ascii="仿宋" w:hAnsi="仿宋" w:eastAsia="仿宋" w:cs="仿宋"/>
          <w:sz w:val="24"/>
          <w:szCs w:val="24"/>
        </w:rPr>
        <w:t>5、售后服务响应要求：24H响应，</w:t>
      </w:r>
      <w:r>
        <w:rPr>
          <w:rFonts w:ascii="仿宋" w:hAnsi="仿宋" w:eastAsia="仿宋"/>
          <w:sz w:val="24"/>
          <w:szCs w:val="24"/>
        </w:rPr>
        <w:t>即接到用户求助电话后2小时内提供解决方案，需要现场排除故障的，24小时内到达现场，提供服务。</w:t>
      </w:r>
    </w:p>
    <w:p>
      <w:pPr>
        <w:snapToGrid w:val="0"/>
        <w:spacing w:line="288" w:lineRule="auto"/>
        <w:ind w:firstLine="480" w:firstLineChars="200"/>
        <w:rPr>
          <w:rFonts w:ascii="仿宋" w:hAnsi="仿宋" w:eastAsia="仿宋" w:cs="仿宋"/>
          <w:sz w:val="24"/>
          <w:szCs w:val="24"/>
        </w:rPr>
      </w:pPr>
      <w:r>
        <w:rPr>
          <w:rFonts w:hint="eastAsia" w:ascii="仿宋" w:hAnsi="仿宋" w:eastAsia="仿宋" w:cs="仿宋"/>
          <w:sz w:val="24"/>
          <w:szCs w:val="24"/>
        </w:rPr>
        <w:t>6、付款方式：</w:t>
      </w:r>
    </w:p>
    <w:p>
      <w:pPr>
        <w:snapToGrid w:val="0"/>
        <w:spacing w:line="288" w:lineRule="auto"/>
        <w:ind w:firstLine="480" w:firstLineChars="200"/>
        <w:rPr>
          <w:rFonts w:ascii="仿宋" w:hAnsi="仿宋" w:eastAsia="仿宋"/>
          <w:sz w:val="24"/>
          <w:szCs w:val="24"/>
        </w:rPr>
      </w:pPr>
      <w:r>
        <w:rPr>
          <w:rFonts w:hint="eastAsia" w:ascii="仿宋" w:hAnsi="仿宋" w:eastAsia="仿宋"/>
          <w:sz w:val="24"/>
          <w:szCs w:val="24"/>
        </w:rPr>
        <w:t>（1）无预付款，按实结算。</w:t>
      </w:r>
    </w:p>
    <w:p>
      <w:pPr>
        <w:snapToGrid w:val="0"/>
        <w:spacing w:line="288" w:lineRule="auto"/>
        <w:ind w:firstLine="480" w:firstLineChars="200"/>
        <w:rPr>
          <w:rFonts w:ascii="仿宋" w:hAnsi="仿宋" w:eastAsia="仿宋"/>
          <w:sz w:val="24"/>
          <w:szCs w:val="24"/>
        </w:rPr>
      </w:pPr>
      <w:r>
        <w:rPr>
          <w:rFonts w:hint="eastAsia" w:ascii="仿宋" w:hAnsi="仿宋" w:eastAsia="仿宋"/>
          <w:sz w:val="24"/>
          <w:szCs w:val="24"/>
        </w:rPr>
        <w:t>（2）全部货物供货完成，经双方联合验收合格，乙方按学校规定办理相关请款手续后，甲方付至实际总货款的</w:t>
      </w:r>
      <w:r>
        <w:rPr>
          <w:rFonts w:ascii="仿宋" w:hAnsi="仿宋" w:eastAsia="仿宋"/>
          <w:sz w:val="24"/>
          <w:szCs w:val="24"/>
        </w:rPr>
        <w:t>95</w:t>
      </w:r>
      <w:r>
        <w:rPr>
          <w:rFonts w:hint="eastAsia" w:ascii="仿宋" w:hAnsi="仿宋" w:eastAsia="仿宋"/>
          <w:sz w:val="24"/>
          <w:szCs w:val="24"/>
        </w:rPr>
        <w:t>%。</w:t>
      </w:r>
    </w:p>
    <w:p>
      <w:pPr>
        <w:snapToGrid w:val="0"/>
        <w:spacing w:line="288" w:lineRule="auto"/>
        <w:ind w:firstLine="480" w:firstLineChars="200"/>
        <w:rPr>
          <w:rFonts w:ascii="仿宋" w:hAnsi="仿宋" w:eastAsia="仿宋"/>
          <w:sz w:val="24"/>
          <w:szCs w:val="24"/>
        </w:rPr>
      </w:pPr>
      <w:r>
        <w:rPr>
          <w:rFonts w:hint="eastAsia" w:ascii="仿宋" w:hAnsi="仿宋" w:eastAsia="仿宋"/>
          <w:sz w:val="24"/>
          <w:szCs w:val="24"/>
        </w:rPr>
        <w:t>（3）余款5%待验收合格两年后付清（无利息）。</w:t>
      </w:r>
    </w:p>
    <w:p>
      <w:pPr>
        <w:pStyle w:val="2"/>
        <w:spacing w:line="288" w:lineRule="auto"/>
      </w:pPr>
    </w:p>
    <w:p>
      <w:pPr>
        <w:spacing w:line="288" w:lineRule="auto"/>
        <w:rPr>
          <w:rFonts w:ascii="仿宋" w:hAnsi="仿宋" w:eastAsia="仿宋"/>
          <w:sz w:val="24"/>
          <w:szCs w:val="24"/>
        </w:rPr>
      </w:pPr>
      <w:r>
        <w:rPr>
          <w:rFonts w:hint="eastAsia" w:ascii="仿宋" w:hAnsi="仿宋" w:eastAsia="仿宋"/>
          <w:b/>
          <w:sz w:val="24"/>
          <w:szCs w:val="24"/>
        </w:rPr>
        <w:t>三、</w:t>
      </w:r>
      <w:bookmarkStart w:id="1" w:name="_GoBack"/>
      <w:bookmarkEnd w:id="1"/>
      <w:r>
        <w:rPr>
          <w:rFonts w:ascii="仿宋" w:hAnsi="仿宋" w:eastAsia="仿宋"/>
          <w:b/>
          <w:sz w:val="24"/>
          <w:szCs w:val="24"/>
        </w:rPr>
        <w:t>产品验收标准</w:t>
      </w:r>
    </w:p>
    <w:p>
      <w:pPr>
        <w:snapToGrid w:val="0"/>
        <w:spacing w:line="288" w:lineRule="auto"/>
        <w:ind w:firstLine="480" w:firstLineChars="200"/>
        <w:rPr>
          <w:rFonts w:ascii="仿宋" w:hAnsi="仿宋" w:eastAsia="仿宋"/>
          <w:sz w:val="24"/>
          <w:szCs w:val="24"/>
        </w:rPr>
      </w:pPr>
      <w:r>
        <w:rPr>
          <w:rFonts w:hint="eastAsia" w:ascii="仿宋" w:hAnsi="仿宋" w:eastAsia="仿宋"/>
          <w:sz w:val="24"/>
          <w:szCs w:val="24"/>
        </w:rPr>
        <w:t>1、产品对应的国家和行业标准；</w:t>
      </w:r>
    </w:p>
    <w:p>
      <w:pPr>
        <w:snapToGrid w:val="0"/>
        <w:spacing w:line="288" w:lineRule="auto"/>
        <w:ind w:firstLine="480" w:firstLineChars="200"/>
        <w:rPr>
          <w:rFonts w:ascii="仿宋" w:hAnsi="仿宋" w:eastAsia="仿宋"/>
          <w:sz w:val="24"/>
          <w:szCs w:val="24"/>
        </w:rPr>
      </w:pPr>
      <w:r>
        <w:rPr>
          <w:rFonts w:hint="eastAsia" w:ascii="仿宋" w:hAnsi="仿宋" w:eastAsia="仿宋"/>
          <w:sz w:val="24"/>
          <w:szCs w:val="24"/>
        </w:rPr>
        <w:t>2、招标文件的要求和投标文件的承诺。</w:t>
      </w:r>
    </w:p>
    <w:p>
      <w:pPr>
        <w:snapToGrid w:val="0"/>
        <w:spacing w:line="288" w:lineRule="auto"/>
        <w:ind w:firstLine="480" w:firstLineChars="200"/>
        <w:rPr>
          <w:rFonts w:ascii="仿宋" w:hAnsi="仿宋" w:eastAsia="仿宋"/>
          <w:sz w:val="24"/>
          <w:szCs w:val="24"/>
        </w:rPr>
      </w:pPr>
      <w:r>
        <w:rPr>
          <w:rFonts w:hint="eastAsia" w:ascii="仿宋" w:hAnsi="仿宋" w:eastAsia="仿宋"/>
          <w:sz w:val="24"/>
          <w:szCs w:val="24"/>
        </w:rPr>
        <w:t>3、验收试验最低限度包括下列项目：</w:t>
      </w:r>
    </w:p>
    <w:p>
      <w:pPr>
        <w:snapToGrid w:val="0"/>
        <w:spacing w:line="288" w:lineRule="auto"/>
        <w:ind w:firstLine="480" w:firstLineChars="200"/>
        <w:rPr>
          <w:rFonts w:ascii="仿宋" w:hAnsi="仿宋" w:eastAsia="仿宋"/>
          <w:sz w:val="24"/>
          <w:szCs w:val="24"/>
        </w:rPr>
      </w:pPr>
      <w:r>
        <w:rPr>
          <w:rFonts w:hint="eastAsia" w:ascii="仿宋" w:hAnsi="仿宋" w:eastAsia="仿宋"/>
          <w:sz w:val="24"/>
          <w:szCs w:val="24"/>
        </w:rPr>
        <w:t>（1）外观目视检验。</w:t>
      </w:r>
    </w:p>
    <w:p>
      <w:pPr>
        <w:snapToGrid w:val="0"/>
        <w:spacing w:line="288" w:lineRule="auto"/>
        <w:ind w:firstLine="480" w:firstLineChars="200"/>
        <w:rPr>
          <w:rFonts w:ascii="仿宋" w:hAnsi="仿宋" w:eastAsia="仿宋"/>
          <w:sz w:val="24"/>
          <w:szCs w:val="24"/>
        </w:rPr>
      </w:pPr>
      <w:r>
        <w:rPr>
          <w:rFonts w:hint="eastAsia" w:ascii="仿宋" w:hAnsi="仿宋" w:eastAsia="仿宋"/>
          <w:sz w:val="24"/>
          <w:szCs w:val="24"/>
        </w:rPr>
        <w:t>（2）甲方在现场要求进行的符合标准规定的试验项目。</w:t>
      </w:r>
    </w:p>
    <w:p>
      <w:pPr>
        <w:snapToGrid w:val="0"/>
        <w:spacing w:line="288" w:lineRule="auto"/>
        <w:ind w:firstLine="480" w:firstLineChars="200"/>
        <w:rPr>
          <w:rFonts w:ascii="仿宋" w:hAnsi="仿宋" w:eastAsia="仿宋"/>
          <w:sz w:val="24"/>
          <w:szCs w:val="24"/>
        </w:rPr>
      </w:pPr>
      <w:r>
        <w:rPr>
          <w:rFonts w:hint="eastAsia" w:ascii="仿宋" w:hAnsi="仿宋" w:eastAsia="仿宋"/>
          <w:sz w:val="24"/>
          <w:szCs w:val="24"/>
        </w:rPr>
        <w:t>（3）乙方应在确定验收日的前7日通知甲方，甲方有权监督出厂试验和可能的对在制产品的质量检查及提出质量整改意见。</w:t>
      </w:r>
    </w:p>
    <w:p>
      <w:pPr>
        <w:spacing w:line="288" w:lineRule="auto"/>
        <w:rPr>
          <w:rFonts w:ascii="仿宋" w:hAnsi="仿宋" w:eastAsia="仿宋"/>
          <w:b/>
          <w:sz w:val="24"/>
          <w:szCs w:val="24"/>
        </w:rPr>
      </w:pPr>
    </w:p>
    <w:p>
      <w:pPr>
        <w:spacing w:line="288" w:lineRule="auto"/>
        <w:rPr>
          <w:rFonts w:ascii="仿宋" w:hAnsi="仿宋" w:eastAsia="仿宋" w:cs="Arial Unicode MS"/>
          <w:sz w:val="24"/>
          <w:szCs w:val="24"/>
        </w:rPr>
      </w:pPr>
      <w:r>
        <w:rPr>
          <w:rFonts w:hint="eastAsia" w:ascii="仿宋" w:hAnsi="仿宋" w:eastAsia="仿宋" w:cs="Arial Unicode MS"/>
          <w:sz w:val="24"/>
          <w:szCs w:val="24"/>
        </w:rPr>
        <w:t>标注“★”的内容为实质性要求，有一项不符合的，作无效响应处理。</w:t>
      </w:r>
    </w:p>
    <w:p>
      <w:pPr>
        <w:pStyle w:val="2"/>
        <w:spacing w:line="288" w:lineRule="auto"/>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B6B01"/>
    <w:multiLevelType w:val="multilevel"/>
    <w:tmpl w:val="2E1B6B01"/>
    <w:lvl w:ilvl="0" w:tentative="0">
      <w:start w:val="1"/>
      <w:numFmt w:val="japaneseCounting"/>
      <w:lvlText w:val="%1、"/>
      <w:lvlJc w:val="left"/>
      <w:pPr>
        <w:ind w:left="720" w:hanging="720"/>
      </w:pPr>
      <w:rPr>
        <w:rFonts w:hint="default"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NzNkNzBiMDU0MzMxMzRjNzM1ZTc2ZTBjODc4MjUifQ=="/>
  </w:docVars>
  <w:rsids>
    <w:rsidRoot w:val="00051DBB"/>
    <w:rsid w:val="000078F6"/>
    <w:rsid w:val="00012DF0"/>
    <w:rsid w:val="00051DBB"/>
    <w:rsid w:val="0006233A"/>
    <w:rsid w:val="000711DF"/>
    <w:rsid w:val="000774D4"/>
    <w:rsid w:val="000919E9"/>
    <w:rsid w:val="000C3E10"/>
    <w:rsid w:val="000E4042"/>
    <w:rsid w:val="000F16EF"/>
    <w:rsid w:val="00104882"/>
    <w:rsid w:val="001336B8"/>
    <w:rsid w:val="00152E1E"/>
    <w:rsid w:val="00167D6E"/>
    <w:rsid w:val="001726EC"/>
    <w:rsid w:val="001A6FA3"/>
    <w:rsid w:val="001A745F"/>
    <w:rsid w:val="001B66F4"/>
    <w:rsid w:val="001D1FB8"/>
    <w:rsid w:val="001D30FB"/>
    <w:rsid w:val="00203B6E"/>
    <w:rsid w:val="00212D18"/>
    <w:rsid w:val="00222DD3"/>
    <w:rsid w:val="00225CDC"/>
    <w:rsid w:val="002444F8"/>
    <w:rsid w:val="0027759C"/>
    <w:rsid w:val="002A5A7D"/>
    <w:rsid w:val="002A7E2F"/>
    <w:rsid w:val="002B2F5D"/>
    <w:rsid w:val="002B6E09"/>
    <w:rsid w:val="002D3A11"/>
    <w:rsid w:val="002D4DBB"/>
    <w:rsid w:val="002E47C4"/>
    <w:rsid w:val="002E73F9"/>
    <w:rsid w:val="002F08EA"/>
    <w:rsid w:val="003401A3"/>
    <w:rsid w:val="00343A15"/>
    <w:rsid w:val="00344470"/>
    <w:rsid w:val="003645FE"/>
    <w:rsid w:val="00384DDE"/>
    <w:rsid w:val="00385CAC"/>
    <w:rsid w:val="0039246C"/>
    <w:rsid w:val="00394643"/>
    <w:rsid w:val="003A3BC2"/>
    <w:rsid w:val="003A5A64"/>
    <w:rsid w:val="003C01B8"/>
    <w:rsid w:val="003C5277"/>
    <w:rsid w:val="003E3A50"/>
    <w:rsid w:val="003F19D7"/>
    <w:rsid w:val="00400E4A"/>
    <w:rsid w:val="00401AE4"/>
    <w:rsid w:val="0044213A"/>
    <w:rsid w:val="00443603"/>
    <w:rsid w:val="00466A78"/>
    <w:rsid w:val="00477293"/>
    <w:rsid w:val="00477D07"/>
    <w:rsid w:val="004831AF"/>
    <w:rsid w:val="004A52B0"/>
    <w:rsid w:val="004B0003"/>
    <w:rsid w:val="004B1113"/>
    <w:rsid w:val="004B6BED"/>
    <w:rsid w:val="004E1B87"/>
    <w:rsid w:val="004F091F"/>
    <w:rsid w:val="00526D38"/>
    <w:rsid w:val="00540CBC"/>
    <w:rsid w:val="00544DEB"/>
    <w:rsid w:val="00551047"/>
    <w:rsid w:val="005A246B"/>
    <w:rsid w:val="005B6A82"/>
    <w:rsid w:val="005B6C90"/>
    <w:rsid w:val="005D7E78"/>
    <w:rsid w:val="005E63DF"/>
    <w:rsid w:val="0060634F"/>
    <w:rsid w:val="00612886"/>
    <w:rsid w:val="006143CD"/>
    <w:rsid w:val="00625467"/>
    <w:rsid w:val="00627D9C"/>
    <w:rsid w:val="0063234C"/>
    <w:rsid w:val="00653B1D"/>
    <w:rsid w:val="00655DA5"/>
    <w:rsid w:val="0068124E"/>
    <w:rsid w:val="006832AC"/>
    <w:rsid w:val="00692B95"/>
    <w:rsid w:val="00696D93"/>
    <w:rsid w:val="006B47F2"/>
    <w:rsid w:val="006E1E77"/>
    <w:rsid w:val="00726BAE"/>
    <w:rsid w:val="00730F6D"/>
    <w:rsid w:val="007707B8"/>
    <w:rsid w:val="007E2FC7"/>
    <w:rsid w:val="00822540"/>
    <w:rsid w:val="008226A7"/>
    <w:rsid w:val="00830988"/>
    <w:rsid w:val="00835D8C"/>
    <w:rsid w:val="00836DBC"/>
    <w:rsid w:val="00854813"/>
    <w:rsid w:val="0086535E"/>
    <w:rsid w:val="008728DA"/>
    <w:rsid w:val="00877ECA"/>
    <w:rsid w:val="008D315E"/>
    <w:rsid w:val="00915CFD"/>
    <w:rsid w:val="009241F0"/>
    <w:rsid w:val="0094423E"/>
    <w:rsid w:val="009529A4"/>
    <w:rsid w:val="00992A3F"/>
    <w:rsid w:val="009F1170"/>
    <w:rsid w:val="00A233A9"/>
    <w:rsid w:val="00A23592"/>
    <w:rsid w:val="00A31A9F"/>
    <w:rsid w:val="00A54717"/>
    <w:rsid w:val="00A77CE0"/>
    <w:rsid w:val="00A81C0A"/>
    <w:rsid w:val="00AA1B9C"/>
    <w:rsid w:val="00AA5602"/>
    <w:rsid w:val="00AD614A"/>
    <w:rsid w:val="00AD799D"/>
    <w:rsid w:val="00B32A05"/>
    <w:rsid w:val="00B55B37"/>
    <w:rsid w:val="00B57E4F"/>
    <w:rsid w:val="00B87860"/>
    <w:rsid w:val="00B972A3"/>
    <w:rsid w:val="00BB2EB5"/>
    <w:rsid w:val="00BD7248"/>
    <w:rsid w:val="00BF7088"/>
    <w:rsid w:val="00C060BC"/>
    <w:rsid w:val="00C13431"/>
    <w:rsid w:val="00C25AA4"/>
    <w:rsid w:val="00C2724E"/>
    <w:rsid w:val="00C42DB2"/>
    <w:rsid w:val="00C44E2A"/>
    <w:rsid w:val="00C44F7F"/>
    <w:rsid w:val="00C501DF"/>
    <w:rsid w:val="00C56813"/>
    <w:rsid w:val="00C76158"/>
    <w:rsid w:val="00C85BE7"/>
    <w:rsid w:val="00CA3A32"/>
    <w:rsid w:val="00CA4C29"/>
    <w:rsid w:val="00CC4C27"/>
    <w:rsid w:val="00CC7424"/>
    <w:rsid w:val="00CD53E8"/>
    <w:rsid w:val="00CD6432"/>
    <w:rsid w:val="00CE0BAB"/>
    <w:rsid w:val="00D0206A"/>
    <w:rsid w:val="00D2017D"/>
    <w:rsid w:val="00D317BB"/>
    <w:rsid w:val="00D4637B"/>
    <w:rsid w:val="00D55E56"/>
    <w:rsid w:val="00D56CCB"/>
    <w:rsid w:val="00D62201"/>
    <w:rsid w:val="00D62D42"/>
    <w:rsid w:val="00DA036F"/>
    <w:rsid w:val="00DA2552"/>
    <w:rsid w:val="00DA6F2E"/>
    <w:rsid w:val="00DB7AA5"/>
    <w:rsid w:val="00DD23C1"/>
    <w:rsid w:val="00DD7CDD"/>
    <w:rsid w:val="00E0756F"/>
    <w:rsid w:val="00E2158D"/>
    <w:rsid w:val="00E509CE"/>
    <w:rsid w:val="00E60954"/>
    <w:rsid w:val="00E832AE"/>
    <w:rsid w:val="00EA6277"/>
    <w:rsid w:val="00EC1B74"/>
    <w:rsid w:val="00ED672D"/>
    <w:rsid w:val="00ED77B6"/>
    <w:rsid w:val="00EE546C"/>
    <w:rsid w:val="00F0685B"/>
    <w:rsid w:val="00F147F8"/>
    <w:rsid w:val="00F25E04"/>
    <w:rsid w:val="00F54491"/>
    <w:rsid w:val="00F72C83"/>
    <w:rsid w:val="00F848A4"/>
    <w:rsid w:val="00F85D72"/>
    <w:rsid w:val="00FB38CF"/>
    <w:rsid w:val="00FB55F2"/>
    <w:rsid w:val="00FC6D4E"/>
    <w:rsid w:val="00FD27AE"/>
    <w:rsid w:val="00FD7995"/>
    <w:rsid w:val="00FE6695"/>
    <w:rsid w:val="00FF4119"/>
    <w:rsid w:val="014011E1"/>
    <w:rsid w:val="05472A7A"/>
    <w:rsid w:val="07512BBE"/>
    <w:rsid w:val="2170371A"/>
    <w:rsid w:val="2E9C2538"/>
    <w:rsid w:val="3A6F6DAA"/>
    <w:rsid w:val="3BD313C0"/>
    <w:rsid w:val="409B61D7"/>
    <w:rsid w:val="430727C4"/>
    <w:rsid w:val="43866B63"/>
    <w:rsid w:val="4961681D"/>
    <w:rsid w:val="4A5E4573"/>
    <w:rsid w:val="5A17002B"/>
    <w:rsid w:val="67302CB4"/>
    <w:rsid w:val="6A0E3998"/>
    <w:rsid w:val="75F65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0"/>
    <w:qFormat/>
    <w:uiPriority w:val="99"/>
    <w:pPr>
      <w:ind w:firstLine="420"/>
    </w:pPr>
  </w:style>
  <w:style w:type="paragraph" w:styleId="3">
    <w:name w:val="Body Text Indent"/>
    <w:basedOn w:val="1"/>
    <w:link w:val="19"/>
    <w:qFormat/>
    <w:uiPriority w:val="99"/>
    <w:pPr>
      <w:spacing w:after="120"/>
      <w:ind w:left="420"/>
    </w:pPr>
    <w:rPr>
      <w:rFonts w:ascii="Times New Roman" w:hAnsi="Times New Roman"/>
    </w:rPr>
  </w:style>
  <w:style w:type="paragraph" w:styleId="4">
    <w:name w:val="annotation text"/>
    <w:basedOn w:val="1"/>
    <w:link w:val="62"/>
    <w:semiHidden/>
    <w:unhideWhenUsed/>
    <w:qFormat/>
    <w:uiPriority w:val="99"/>
    <w:pPr>
      <w:jc w:val="left"/>
    </w:pPr>
  </w:style>
  <w:style w:type="paragraph" w:styleId="5">
    <w:name w:val="Balloon Text"/>
    <w:basedOn w:val="1"/>
    <w:link w:val="64"/>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Times New Roman"/>
      <w:kern w:val="0"/>
      <w:sz w:val="20"/>
      <w:szCs w:val="20"/>
    </w:rPr>
  </w:style>
  <w:style w:type="paragraph" w:styleId="9">
    <w:name w:val="annotation subject"/>
    <w:basedOn w:val="4"/>
    <w:next w:val="4"/>
    <w:link w:val="63"/>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800080"/>
      <w:u w:val="single"/>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正文文本缩进 字符"/>
    <w:basedOn w:val="12"/>
    <w:link w:val="3"/>
    <w:qFormat/>
    <w:uiPriority w:val="99"/>
    <w:rPr>
      <w:rFonts w:eastAsiaTheme="minorEastAsia" w:cstheme="minorBidi"/>
      <w:kern w:val="2"/>
      <w:sz w:val="21"/>
      <w:szCs w:val="22"/>
    </w:rPr>
  </w:style>
  <w:style w:type="character" w:customStyle="1" w:styleId="20">
    <w:name w:val="正文首行缩进 2 字符"/>
    <w:basedOn w:val="19"/>
    <w:link w:val="2"/>
    <w:qFormat/>
    <w:uiPriority w:val="99"/>
    <w:rPr>
      <w:rFonts w:eastAsiaTheme="minorEastAsia" w:cstheme="minorBidi"/>
      <w:kern w:val="2"/>
      <w:sz w:val="21"/>
      <w:szCs w:val="22"/>
    </w:rPr>
  </w:style>
  <w:style w:type="paragraph" w:customStyle="1" w:styleId="21">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2">
    <w:name w:val="font6"/>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font8"/>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25">
    <w:name w:val="font9"/>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8">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0"/>
      <w:szCs w:val="20"/>
    </w:rPr>
  </w:style>
  <w:style w:type="paragraph" w:customStyle="1" w:styleId="3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3">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0"/>
      <w:szCs w:val="20"/>
    </w:rPr>
  </w:style>
  <w:style w:type="paragraph" w:customStyle="1" w:styleId="34">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FF0000"/>
      <w:kern w:val="0"/>
      <w:sz w:val="20"/>
      <w:szCs w:val="20"/>
    </w:rPr>
  </w:style>
  <w:style w:type="paragraph" w:customStyle="1" w:styleId="35">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kern w:val="0"/>
      <w:sz w:val="20"/>
      <w:szCs w:val="20"/>
    </w:rPr>
  </w:style>
  <w:style w:type="paragraph" w:customStyle="1" w:styleId="36">
    <w:name w:val="xl76"/>
    <w:basedOn w:val="1"/>
    <w:uiPriority w:val="0"/>
    <w:pPr>
      <w:widowControl/>
      <w:pBdr>
        <w:top w:val="single" w:color="auto" w:sz="4" w:space="0"/>
        <w:bottom w:val="single" w:color="auto" w:sz="4" w:space="0"/>
      </w:pBdr>
      <w:spacing w:before="100" w:beforeAutospacing="1" w:after="100" w:afterAutospacing="1"/>
    </w:pPr>
    <w:rPr>
      <w:rFonts w:ascii="宋体" w:hAnsi="宋体" w:eastAsia="宋体" w:cs="宋体"/>
      <w:kern w:val="0"/>
      <w:sz w:val="20"/>
      <w:szCs w:val="20"/>
    </w:rPr>
  </w:style>
  <w:style w:type="paragraph" w:customStyle="1" w:styleId="37">
    <w:name w:val="xl77"/>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 w:val="20"/>
      <w:szCs w:val="20"/>
    </w:rPr>
  </w:style>
  <w:style w:type="paragraph" w:customStyle="1" w:styleId="39">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40">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4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42">
    <w:name w:val="xl8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43">
    <w:name w:val="xl8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44">
    <w:name w:val="xl84"/>
    <w:basedOn w:val="1"/>
    <w:qFormat/>
    <w:uiPriority w:val="0"/>
    <w:pPr>
      <w:widowControl/>
      <w:pBdr>
        <w:top w:val="single" w:color="auto" w:sz="4" w:space="0"/>
        <w:bottom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45">
    <w:name w:val="xl85"/>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6">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宋体" w:hAnsi="宋体" w:eastAsia="宋体" w:cs="宋体"/>
      <w:color w:val="FF0000"/>
      <w:kern w:val="0"/>
      <w:sz w:val="20"/>
      <w:szCs w:val="20"/>
    </w:rPr>
  </w:style>
  <w:style w:type="paragraph" w:customStyle="1" w:styleId="48">
    <w:name w:val="xl88"/>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eastAsia="宋体" w:cs="宋体"/>
      <w:color w:val="FF0000"/>
      <w:kern w:val="0"/>
      <w:sz w:val="20"/>
      <w:szCs w:val="20"/>
    </w:rPr>
  </w:style>
  <w:style w:type="paragraph" w:customStyle="1" w:styleId="49">
    <w:name w:val="xl89"/>
    <w:basedOn w:val="1"/>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FF0000"/>
      <w:kern w:val="0"/>
      <w:sz w:val="20"/>
      <w:szCs w:val="20"/>
    </w:rPr>
  </w:style>
  <w:style w:type="paragraph" w:customStyle="1" w:styleId="50">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pPr>
    <w:rPr>
      <w:rFonts w:ascii="Times New Roman" w:hAnsi="Times New Roman" w:eastAsia="宋体" w:cs="Times New Roman"/>
      <w:kern w:val="0"/>
      <w:sz w:val="20"/>
      <w:szCs w:val="20"/>
    </w:rPr>
  </w:style>
  <w:style w:type="paragraph" w:customStyle="1" w:styleId="51">
    <w:name w:val="xl9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宋体" w:cs="Times New Roman"/>
      <w:kern w:val="0"/>
      <w:sz w:val="20"/>
      <w:szCs w:val="20"/>
    </w:rPr>
  </w:style>
  <w:style w:type="paragraph" w:customStyle="1" w:styleId="52">
    <w:name w:val="xl92"/>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53">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54">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5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56">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57">
    <w:name w:val="xl9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58">
    <w:name w:val="xl9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59">
    <w:name w:val="xl99"/>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0">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pPr>
    <w:rPr>
      <w:rFonts w:ascii="Times New Roman" w:hAnsi="Times New Roman" w:eastAsia="宋体" w:cs="Times New Roman"/>
      <w:kern w:val="0"/>
      <w:sz w:val="20"/>
      <w:szCs w:val="20"/>
    </w:rPr>
  </w:style>
  <w:style w:type="paragraph" w:customStyle="1" w:styleId="61">
    <w:name w:val="xl10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宋体" w:cs="Times New Roman"/>
      <w:kern w:val="0"/>
      <w:sz w:val="20"/>
      <w:szCs w:val="20"/>
    </w:rPr>
  </w:style>
  <w:style w:type="character" w:customStyle="1" w:styleId="62">
    <w:name w:val="批注文字 字符"/>
    <w:basedOn w:val="12"/>
    <w:link w:val="4"/>
    <w:semiHidden/>
    <w:qFormat/>
    <w:uiPriority w:val="99"/>
    <w:rPr>
      <w:rFonts w:asciiTheme="minorHAnsi" w:hAnsiTheme="minorHAnsi" w:eastAsiaTheme="minorEastAsia" w:cstheme="minorBidi"/>
      <w:kern w:val="2"/>
      <w:sz w:val="21"/>
      <w:szCs w:val="22"/>
    </w:rPr>
  </w:style>
  <w:style w:type="character" w:customStyle="1" w:styleId="63">
    <w:name w:val="批注主题 字符"/>
    <w:basedOn w:val="62"/>
    <w:link w:val="9"/>
    <w:semiHidden/>
    <w:qFormat/>
    <w:uiPriority w:val="99"/>
    <w:rPr>
      <w:rFonts w:asciiTheme="minorHAnsi" w:hAnsiTheme="minorHAnsi" w:eastAsiaTheme="minorEastAsia" w:cstheme="minorBidi"/>
      <w:b/>
      <w:bCs/>
      <w:kern w:val="2"/>
      <w:sz w:val="21"/>
      <w:szCs w:val="22"/>
    </w:rPr>
  </w:style>
  <w:style w:type="character" w:customStyle="1" w:styleId="64">
    <w:name w:val="批注框文本 字符"/>
    <w:basedOn w:val="12"/>
    <w:link w:val="5"/>
    <w:semiHidden/>
    <w:qFormat/>
    <w:uiPriority w:val="99"/>
    <w:rPr>
      <w:rFonts w:asciiTheme="minorHAnsi" w:hAnsiTheme="minorHAnsi" w:eastAsiaTheme="minorEastAsia" w:cstheme="minorBidi"/>
      <w:kern w:val="2"/>
      <w:sz w:val="18"/>
      <w:szCs w:val="18"/>
    </w:rPr>
  </w:style>
  <w:style w:type="character" w:customStyle="1" w:styleId="65">
    <w:name w:val="HTML 预设格式 字符"/>
    <w:basedOn w:val="12"/>
    <w:link w:val="8"/>
    <w:qFormat/>
    <w:uiPriority w:val="99"/>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647</Words>
  <Characters>654</Characters>
  <Lines>4</Lines>
  <Paragraphs>1</Paragraphs>
  <TotalTime>1514</TotalTime>
  <ScaleCrop>false</ScaleCrop>
  <LinksUpToDate>false</LinksUpToDate>
  <CharactersWithSpaces>654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2022-09-20T06:03:00Z</dcterms:created>
  <dc:creator>wym</dc:creator>
  <cp:lastModifiedBy>赵祝萱</cp:lastModifiedBy>
  <dcterms:modified xsi:type="dcterms:W3CDTF">2022-12-23T10:49:08Z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751B5BD717EB48B5AAF27D35F2846691</vt:lpwstr>
  </property>
</Properties>
</file>