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）2018-</w:t>
      </w:r>
      <w:r w:rsidR="00E2504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105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南京大学鼓楼校区</w:t>
      </w:r>
      <w:proofErr w:type="gramStart"/>
      <w:r w:rsidR="0009359E" w:rsidRPr="00C22D3E">
        <w:rPr>
          <w:rFonts w:ascii="宋体" w:hAnsi="宋体" w:hint="eastAsia"/>
          <w:b/>
          <w:bCs/>
          <w:szCs w:val="28"/>
          <w:u w:val="none"/>
        </w:rPr>
        <w:t>南</w:t>
      </w:r>
      <w:r w:rsidR="0009359E" w:rsidRPr="00C22D3E">
        <w:rPr>
          <w:rFonts w:ascii="宋体" w:hAnsi="宋体"/>
          <w:b/>
          <w:bCs/>
          <w:szCs w:val="28"/>
          <w:u w:val="none"/>
        </w:rPr>
        <w:t>北园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围墙</w:t>
      </w:r>
      <w:proofErr w:type="gramEnd"/>
      <w:r w:rsidR="0009359E" w:rsidRPr="00C22D3E">
        <w:rPr>
          <w:rFonts w:ascii="宋体" w:hAnsi="宋体" w:hint="eastAsia"/>
          <w:b/>
          <w:bCs/>
          <w:szCs w:val="28"/>
          <w:u w:val="none"/>
        </w:rPr>
        <w:t>翻</w:t>
      </w:r>
      <w:r w:rsidR="0009359E" w:rsidRPr="00C22D3E">
        <w:rPr>
          <w:rFonts w:ascii="宋体" w:hAnsi="宋体"/>
          <w:b/>
          <w:bCs/>
          <w:szCs w:val="28"/>
          <w:u w:val="none"/>
        </w:rPr>
        <w:t>建及周边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环境</w:t>
      </w:r>
      <w:r w:rsidR="0009359E" w:rsidRPr="00C22D3E">
        <w:rPr>
          <w:rFonts w:ascii="宋体" w:hAnsi="宋体"/>
          <w:b/>
          <w:bCs/>
          <w:szCs w:val="28"/>
          <w:u w:val="none"/>
        </w:rPr>
        <w:t>整治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工程校</w:t>
      </w:r>
      <w:r w:rsidR="0009359E" w:rsidRPr="00C22D3E">
        <w:rPr>
          <w:rFonts w:ascii="宋体" w:hAnsi="宋体"/>
          <w:b/>
          <w:bCs/>
          <w:szCs w:val="28"/>
          <w:u w:val="none"/>
        </w:rPr>
        <w:t>标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及字体雕刻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5A5DE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09359E" w:rsidRDefault="0009359E" w:rsidP="0043548A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  <w:bdr w:val="none" w:sz="0" w:space="0" w:color="auto" w:frame="1"/>
              </w:rPr>
            </w:pP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南京大学鼓楼校区</w:t>
            </w:r>
            <w:proofErr w:type="gramStart"/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南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北园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围墙</w:t>
            </w:r>
            <w:proofErr w:type="gramEnd"/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翻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建及周边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环境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整治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工程校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标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及字体雕刻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）2018-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05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2018年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11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A7083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10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5A5DE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BB04AD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符合设计要求及国家现行颁布的相关标准、规范，满足工程施工使用和招标文件要求及投标承诺。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816D54" w:rsidRDefault="00816D54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proofErr w:type="gramStart"/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南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北园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围墙</w:t>
            </w:r>
            <w:proofErr w:type="gramEnd"/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翻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建及周边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环境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整治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工程校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标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及字体雕刻，校标如</w:t>
            </w:r>
            <w:r w:rsidRPr="00E02927">
              <w:rPr>
                <w:rFonts w:ascii="宋体" w:hAnsi="宋体" w:hint="eastAsia"/>
                <w:bCs/>
                <w:sz w:val="24"/>
              </w:rPr>
              <w:t>附件图纸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所示，</w:t>
            </w:r>
            <w:r w:rsidRPr="00816D54">
              <w:rPr>
                <w:rFonts w:ascii="宋体" w:hAnsi="宋体" w:hint="eastAsia"/>
                <w:sz w:val="24"/>
              </w:rPr>
              <w:t>供货前供方必须经设计</w:t>
            </w:r>
            <w:r w:rsidRPr="00816D54">
              <w:rPr>
                <w:rFonts w:ascii="宋体" w:hAnsi="宋体"/>
                <w:sz w:val="24"/>
              </w:rPr>
              <w:t>院深化设计后</w:t>
            </w:r>
            <w:r w:rsidRPr="00816D54">
              <w:rPr>
                <w:rFonts w:ascii="宋体" w:hAnsi="宋体" w:hint="eastAsia"/>
                <w:sz w:val="24"/>
              </w:rPr>
              <w:t>制作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。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BB04AD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质保期为24个月，质保期内如产品自身质量问题，乙方须及时给予解决。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203799" w:rsidRPr="00816D54" w:rsidRDefault="0004056D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宋体" w:hAnsi="宋体" w:hint="eastAsia"/>
                <w:sz w:val="24"/>
                <w:u w:val="none"/>
              </w:rPr>
              <w:t>201</w:t>
            </w:r>
            <w:r w:rsidRPr="00816D54">
              <w:rPr>
                <w:rFonts w:ascii="宋体" w:hAnsi="宋体"/>
                <w:sz w:val="24"/>
                <w:u w:val="none"/>
              </w:rPr>
              <w:t>8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年</w:t>
            </w:r>
            <w:r w:rsidRPr="00816D54">
              <w:rPr>
                <w:rFonts w:ascii="宋体" w:hAnsi="宋体"/>
                <w:sz w:val="24"/>
                <w:u w:val="none"/>
              </w:rPr>
              <w:t>11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月按</w:t>
            </w:r>
            <w:r w:rsidRPr="00816D54">
              <w:rPr>
                <w:rFonts w:ascii="宋体" w:hAnsi="宋体"/>
                <w:sz w:val="24"/>
                <w:u w:val="none"/>
              </w:rPr>
              <w:t>工程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要求，现场安装</w:t>
            </w:r>
            <w:r w:rsidRPr="00816D54">
              <w:rPr>
                <w:rFonts w:ascii="宋体" w:hAnsi="宋体"/>
                <w:sz w:val="24"/>
                <w:u w:val="none"/>
              </w:rPr>
              <w:t>和雕刻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。</w:t>
            </w:r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04056D" w:rsidP="0004056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宋体" w:hAnsi="宋体" w:hint="eastAsia"/>
                <w:sz w:val="24"/>
                <w:u w:val="none"/>
              </w:rPr>
              <w:t>制作后经设计、监理、工程部、房产</w:t>
            </w:r>
            <w:r w:rsidRPr="00816D54">
              <w:rPr>
                <w:rFonts w:ascii="宋体" w:hAnsi="宋体"/>
                <w:sz w:val="24"/>
                <w:u w:val="none"/>
              </w:rPr>
              <w:t>处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及施工单位共同验收合格，一次性支付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100%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货款。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279" w:type="dxa"/>
          </w:tcPr>
          <w:p w:rsidR="003F0DE7" w:rsidRPr="007E297A" w:rsidRDefault="007E297A" w:rsidP="0004056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7E297A">
              <w:rPr>
                <w:rFonts w:ascii="宋体" w:hAnsi="宋体" w:hint="eastAsia"/>
                <w:sz w:val="24"/>
                <w:u w:val="none"/>
              </w:rPr>
              <w:t>供方的报价为南京大学鼓楼校区</w:t>
            </w:r>
            <w:r w:rsidRPr="007E297A">
              <w:rPr>
                <w:rFonts w:ascii="宋体" w:hAnsi="宋体"/>
                <w:sz w:val="24"/>
                <w:u w:val="none"/>
              </w:rPr>
              <w:t>南北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园</w:t>
            </w:r>
            <w:r w:rsidRPr="007E297A">
              <w:rPr>
                <w:rFonts w:ascii="宋体" w:hAnsi="宋体"/>
                <w:sz w:val="24"/>
                <w:u w:val="none"/>
              </w:rPr>
              <w:t>围墙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翻</w:t>
            </w:r>
            <w:r w:rsidRPr="007E297A">
              <w:rPr>
                <w:rFonts w:ascii="宋体" w:hAnsi="宋体"/>
                <w:sz w:val="24"/>
                <w:u w:val="none"/>
              </w:rPr>
              <w:t>建及周边环境整治工程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工地来回</w:t>
            </w:r>
            <w:r w:rsidRPr="007E297A">
              <w:rPr>
                <w:rFonts w:ascii="宋体" w:hAnsi="宋体"/>
                <w:sz w:val="24"/>
                <w:u w:val="none"/>
              </w:rPr>
              <w:t>运输及雕刻</w:t>
            </w:r>
            <w:r w:rsidR="001D627B">
              <w:rPr>
                <w:rFonts w:ascii="宋体" w:hAnsi="宋体" w:hint="eastAsia"/>
                <w:sz w:val="24"/>
                <w:u w:val="none"/>
              </w:rPr>
              <w:t>等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的价格。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5A5DE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5A5DE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C771C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11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C771C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1</w:t>
      </w:r>
      <w:r w:rsidR="005A5DE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5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AD" w:rsidRDefault="007016AD" w:rsidP="00275417">
      <w:r>
        <w:separator/>
      </w:r>
    </w:p>
  </w:endnote>
  <w:endnote w:type="continuationSeparator" w:id="0">
    <w:p w:rsidR="007016AD" w:rsidRDefault="007016AD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AD" w:rsidRDefault="007016AD" w:rsidP="00275417">
      <w:r>
        <w:separator/>
      </w:r>
    </w:p>
  </w:footnote>
  <w:footnote w:type="continuationSeparator" w:id="0">
    <w:p w:rsidR="007016AD" w:rsidRDefault="007016AD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4056D"/>
    <w:rsid w:val="0004344F"/>
    <w:rsid w:val="00046FDC"/>
    <w:rsid w:val="00074B2B"/>
    <w:rsid w:val="0009359E"/>
    <w:rsid w:val="000C0A28"/>
    <w:rsid w:val="000E5A65"/>
    <w:rsid w:val="000E6CDC"/>
    <w:rsid w:val="00132C53"/>
    <w:rsid w:val="00152AE4"/>
    <w:rsid w:val="00156519"/>
    <w:rsid w:val="00192890"/>
    <w:rsid w:val="00194D9F"/>
    <w:rsid w:val="001972E4"/>
    <w:rsid w:val="001D627B"/>
    <w:rsid w:val="001E47DE"/>
    <w:rsid w:val="00203799"/>
    <w:rsid w:val="00234B20"/>
    <w:rsid w:val="002572D2"/>
    <w:rsid w:val="00275417"/>
    <w:rsid w:val="00290276"/>
    <w:rsid w:val="002A70CC"/>
    <w:rsid w:val="002D0680"/>
    <w:rsid w:val="0031312E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764F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41684"/>
    <w:rsid w:val="00944156"/>
    <w:rsid w:val="00945029"/>
    <w:rsid w:val="00952DC4"/>
    <w:rsid w:val="00971409"/>
    <w:rsid w:val="00993061"/>
    <w:rsid w:val="009C78ED"/>
    <w:rsid w:val="009F3812"/>
    <w:rsid w:val="00A20311"/>
    <w:rsid w:val="00A30B4A"/>
    <w:rsid w:val="00A41238"/>
    <w:rsid w:val="00A53139"/>
    <w:rsid w:val="00A70834"/>
    <w:rsid w:val="00AC0DEF"/>
    <w:rsid w:val="00AD0B58"/>
    <w:rsid w:val="00B53D3F"/>
    <w:rsid w:val="00B76914"/>
    <w:rsid w:val="00BA564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709F"/>
    <w:rsid w:val="00CE6EA9"/>
    <w:rsid w:val="00D1307B"/>
    <w:rsid w:val="00D34FB6"/>
    <w:rsid w:val="00D517F9"/>
    <w:rsid w:val="00D869AE"/>
    <w:rsid w:val="00DC7A95"/>
    <w:rsid w:val="00E02097"/>
    <w:rsid w:val="00E02927"/>
    <w:rsid w:val="00E0420D"/>
    <w:rsid w:val="00E062AB"/>
    <w:rsid w:val="00E14CC2"/>
    <w:rsid w:val="00E2504E"/>
    <w:rsid w:val="00E325D9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5326-3C20-4F2F-8BE4-C7056D0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1231</Characters>
  <Application>Microsoft Office Word</Application>
  <DocSecurity>0</DocSecurity>
  <Lines>10</Lines>
  <Paragraphs>2</Paragraphs>
  <ScaleCrop>false</ScaleCrop>
  <Company>http:/sdwm.org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11</cp:revision>
  <cp:lastPrinted>2018-07-03T03:29:00Z</cp:lastPrinted>
  <dcterms:created xsi:type="dcterms:W3CDTF">2018-11-14T03:26:00Z</dcterms:created>
  <dcterms:modified xsi:type="dcterms:W3CDTF">2018-11-15T06:55:00Z</dcterms:modified>
</cp:coreProperties>
</file>