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360" w:lineRule="auto"/>
        <w:jc w:val="both"/>
        <w:rPr>
          <w:rFonts w:ascii="宋体" w:hAnsi="宋体" w:eastAsia="宋体" w:cs="宋体"/>
          <w:b/>
          <w:kern w:val="2"/>
          <w:sz w:val="21"/>
          <w:szCs w:val="21"/>
          <w:highlight w:val="none"/>
        </w:rPr>
      </w:pPr>
      <w:r>
        <w:rPr>
          <w:rFonts w:hint="eastAsia" w:ascii="宋体" w:hAnsi="宋体" w:eastAsia="宋体" w:cs="宋体"/>
          <w:b/>
          <w:bCs/>
          <w:kern w:val="36"/>
          <w:sz w:val="28"/>
          <w:szCs w:val="28"/>
          <w:highlight w:val="none"/>
        </w:rPr>
        <w:t>项目编号：南基（工）</w:t>
      </w:r>
      <w:r>
        <w:rPr>
          <w:rFonts w:ascii="宋体" w:hAnsi="宋体" w:eastAsia="宋体" w:cs="宋体"/>
          <w:b/>
          <w:bCs/>
          <w:kern w:val="36"/>
          <w:sz w:val="28"/>
          <w:szCs w:val="28"/>
          <w:highlight w:val="none"/>
        </w:rPr>
        <w:t>2019-111</w:t>
      </w:r>
    </w:p>
    <w:p>
      <w:pPr>
        <w:adjustRightInd w:val="0"/>
        <w:snapToGrid w:val="0"/>
        <w:spacing w:line="360" w:lineRule="auto"/>
        <w:jc w:val="both"/>
        <w:rPr>
          <w:rFonts w:ascii="宋体" w:hAnsi="宋体" w:eastAsia="宋体"/>
          <w:snapToGrid w:val="0"/>
          <w:sz w:val="24"/>
          <w:szCs w:val="24"/>
          <w:highlight w:val="none"/>
        </w:rPr>
      </w:pPr>
    </w:p>
    <w:p>
      <w:pPr>
        <w:adjustRightInd w:val="0"/>
        <w:snapToGrid w:val="0"/>
        <w:spacing w:line="360" w:lineRule="auto"/>
        <w:jc w:val="both"/>
        <w:rPr>
          <w:rFonts w:ascii="宋体" w:hAnsi="宋体" w:eastAsia="宋体"/>
          <w:snapToGrid w:val="0"/>
          <w:sz w:val="24"/>
          <w:szCs w:val="24"/>
          <w:highlight w:val="none"/>
        </w:rPr>
      </w:pPr>
    </w:p>
    <w:p>
      <w:pPr>
        <w:adjustRightInd w:val="0"/>
        <w:snapToGrid w:val="0"/>
        <w:spacing w:line="360" w:lineRule="auto"/>
        <w:jc w:val="both"/>
        <w:rPr>
          <w:rFonts w:ascii="宋体" w:hAnsi="宋体" w:eastAsia="宋体"/>
          <w:snapToGrid w:val="0"/>
          <w:sz w:val="24"/>
          <w:szCs w:val="24"/>
          <w:highlight w:val="none"/>
        </w:rPr>
      </w:pPr>
    </w:p>
    <w:p>
      <w:pPr>
        <w:jc w:val="center"/>
        <w:rPr>
          <w:rFonts w:cs="宋体" w:asciiTheme="majorEastAsia" w:hAnsiTheme="majorEastAsia" w:eastAsiaTheme="majorEastAsia"/>
          <w:b/>
          <w:bCs/>
          <w:color w:val="000000"/>
          <w:kern w:val="36"/>
          <w:sz w:val="32"/>
          <w:szCs w:val="42"/>
          <w:highlight w:val="none"/>
        </w:rPr>
      </w:pPr>
      <w:r>
        <w:rPr>
          <w:rFonts w:ascii="黑体" w:hAnsi="黑体" w:eastAsia="黑体" w:cs="宋体"/>
          <w:b/>
          <w:bCs/>
          <w:kern w:val="36"/>
          <w:sz w:val="52"/>
          <w:szCs w:val="52"/>
          <w:highlight w:val="none"/>
        </w:rPr>
        <w:t>南京大学仙林校区化学楼酸雾净化塔补水改造工程（</w:t>
      </w:r>
      <w:r>
        <w:rPr>
          <w:rFonts w:hint="eastAsia" w:ascii="黑体" w:hAnsi="黑体" w:eastAsia="黑体" w:cs="宋体"/>
          <w:b/>
          <w:bCs/>
          <w:kern w:val="36"/>
          <w:sz w:val="52"/>
          <w:szCs w:val="52"/>
          <w:highlight w:val="none"/>
        </w:rPr>
        <w:t>新增水箱基础</w:t>
      </w:r>
      <w:r>
        <w:rPr>
          <w:rFonts w:ascii="黑体" w:hAnsi="黑体" w:eastAsia="黑体" w:cs="宋体"/>
          <w:b/>
          <w:bCs/>
          <w:kern w:val="36"/>
          <w:sz w:val="52"/>
          <w:szCs w:val="52"/>
          <w:highlight w:val="none"/>
        </w:rPr>
        <w:t>）</w:t>
      </w:r>
    </w:p>
    <w:p>
      <w:pPr>
        <w:adjustRightInd w:val="0"/>
        <w:snapToGrid w:val="0"/>
        <w:spacing w:line="360" w:lineRule="auto"/>
        <w:jc w:val="center"/>
        <w:rPr>
          <w:rFonts w:ascii="宋体" w:hAnsi="宋体" w:eastAsia="宋体"/>
          <w:b/>
          <w:snapToGrid w:val="0"/>
          <w:sz w:val="28"/>
          <w:szCs w:val="28"/>
          <w:highlight w:val="none"/>
        </w:rPr>
      </w:pPr>
    </w:p>
    <w:p>
      <w:pPr>
        <w:adjustRightInd w:val="0"/>
        <w:snapToGrid w:val="0"/>
        <w:spacing w:line="360" w:lineRule="auto"/>
        <w:jc w:val="center"/>
        <w:rPr>
          <w:rFonts w:ascii="宋体" w:hAnsi="宋体" w:eastAsia="宋体"/>
          <w:b/>
          <w:snapToGrid w:val="0"/>
          <w:sz w:val="28"/>
          <w:szCs w:val="28"/>
          <w:highlight w:val="none"/>
        </w:rPr>
      </w:pPr>
    </w:p>
    <w:p>
      <w:pPr>
        <w:adjustRightInd w:val="0"/>
        <w:snapToGrid w:val="0"/>
        <w:spacing w:line="360" w:lineRule="auto"/>
        <w:jc w:val="center"/>
        <w:rPr>
          <w:rFonts w:ascii="宋体" w:hAnsi="宋体" w:eastAsia="宋体"/>
          <w:b/>
          <w:snapToGrid w:val="0"/>
          <w:sz w:val="28"/>
          <w:szCs w:val="28"/>
          <w:highlight w:val="none"/>
        </w:rPr>
      </w:pPr>
    </w:p>
    <w:p>
      <w:pPr>
        <w:adjustRightInd w:val="0"/>
        <w:snapToGrid w:val="0"/>
        <w:spacing w:line="360" w:lineRule="auto"/>
        <w:jc w:val="center"/>
        <w:rPr>
          <w:rFonts w:ascii="宋体" w:hAnsi="宋体" w:eastAsia="宋体"/>
          <w:b/>
          <w:snapToGrid w:val="0"/>
          <w:sz w:val="28"/>
          <w:szCs w:val="28"/>
          <w:highlight w:val="none"/>
        </w:rPr>
      </w:pPr>
    </w:p>
    <w:p>
      <w:pPr>
        <w:adjustRightInd w:val="0"/>
        <w:snapToGrid w:val="0"/>
        <w:spacing w:line="360" w:lineRule="auto"/>
        <w:jc w:val="center"/>
        <w:rPr>
          <w:rFonts w:ascii="宋体" w:hAnsi="宋体" w:eastAsia="宋体"/>
          <w:b/>
          <w:snapToGrid w:val="0"/>
          <w:sz w:val="72"/>
          <w:szCs w:val="72"/>
          <w:highlight w:val="none"/>
        </w:rPr>
      </w:pPr>
      <w:r>
        <w:rPr>
          <w:rFonts w:hint="eastAsia" w:ascii="宋体" w:hAnsi="宋体" w:eastAsia="宋体"/>
          <w:b/>
          <w:bCs/>
          <w:sz w:val="72"/>
          <w:szCs w:val="72"/>
          <w:highlight w:val="none"/>
        </w:rPr>
        <w:t>施 工 招</w:t>
      </w:r>
      <w:r>
        <w:rPr>
          <w:rFonts w:ascii="宋体" w:hAnsi="宋体" w:eastAsia="宋体"/>
          <w:b/>
          <w:bCs/>
          <w:sz w:val="72"/>
          <w:szCs w:val="72"/>
          <w:highlight w:val="none"/>
        </w:rPr>
        <w:t xml:space="preserve"> </w:t>
      </w:r>
      <w:r>
        <w:rPr>
          <w:rFonts w:hint="eastAsia" w:ascii="宋体" w:hAnsi="宋体" w:eastAsia="宋体"/>
          <w:b/>
          <w:bCs/>
          <w:sz w:val="72"/>
          <w:szCs w:val="72"/>
          <w:highlight w:val="none"/>
        </w:rPr>
        <w:t>标</w:t>
      </w:r>
      <w:r>
        <w:rPr>
          <w:rFonts w:ascii="宋体" w:hAnsi="宋体" w:eastAsia="宋体"/>
          <w:b/>
          <w:bCs/>
          <w:sz w:val="72"/>
          <w:szCs w:val="72"/>
          <w:highlight w:val="none"/>
        </w:rPr>
        <w:t xml:space="preserve"> </w:t>
      </w:r>
      <w:r>
        <w:rPr>
          <w:rFonts w:hint="eastAsia" w:ascii="宋体" w:hAnsi="宋体" w:eastAsia="宋体"/>
          <w:b/>
          <w:bCs/>
          <w:sz w:val="72"/>
          <w:szCs w:val="72"/>
          <w:highlight w:val="none"/>
        </w:rPr>
        <w:t>文</w:t>
      </w:r>
      <w:r>
        <w:rPr>
          <w:rFonts w:ascii="宋体" w:hAnsi="宋体" w:eastAsia="宋体"/>
          <w:b/>
          <w:bCs/>
          <w:sz w:val="72"/>
          <w:szCs w:val="72"/>
          <w:highlight w:val="none"/>
        </w:rPr>
        <w:t xml:space="preserve"> </w:t>
      </w:r>
      <w:r>
        <w:rPr>
          <w:rFonts w:hint="eastAsia" w:ascii="宋体" w:hAnsi="宋体" w:eastAsia="宋体"/>
          <w:b/>
          <w:bCs/>
          <w:sz w:val="72"/>
          <w:szCs w:val="72"/>
          <w:highlight w:val="none"/>
        </w:rPr>
        <w:t>件</w:t>
      </w:r>
    </w:p>
    <w:p>
      <w:pPr>
        <w:adjustRightInd w:val="0"/>
        <w:snapToGrid w:val="0"/>
        <w:spacing w:line="360" w:lineRule="auto"/>
        <w:rPr>
          <w:rFonts w:ascii="宋体" w:hAnsi="宋体" w:eastAsia="宋体"/>
          <w:snapToGrid w:val="0"/>
          <w:sz w:val="30"/>
          <w:highlight w:val="none"/>
        </w:rPr>
      </w:pPr>
    </w:p>
    <w:p>
      <w:pPr>
        <w:adjustRightInd w:val="0"/>
        <w:snapToGrid w:val="0"/>
        <w:spacing w:line="360" w:lineRule="auto"/>
        <w:rPr>
          <w:rFonts w:ascii="宋体" w:hAnsi="宋体" w:eastAsia="宋体"/>
          <w:b/>
          <w:snapToGrid w:val="0"/>
          <w:sz w:val="48"/>
          <w:szCs w:val="48"/>
          <w:highlight w:val="none"/>
        </w:rPr>
      </w:pPr>
    </w:p>
    <w:p>
      <w:pPr>
        <w:adjustRightInd w:val="0"/>
        <w:snapToGrid w:val="0"/>
        <w:spacing w:line="360" w:lineRule="auto"/>
        <w:rPr>
          <w:rFonts w:ascii="宋体" w:hAnsi="宋体" w:eastAsia="宋体"/>
          <w:b/>
          <w:snapToGrid w:val="0"/>
          <w:sz w:val="48"/>
          <w:szCs w:val="48"/>
          <w:highlight w:val="none"/>
        </w:rPr>
      </w:pPr>
    </w:p>
    <w:p>
      <w:pPr>
        <w:adjustRightInd w:val="0"/>
        <w:snapToGrid w:val="0"/>
        <w:spacing w:line="360" w:lineRule="auto"/>
        <w:rPr>
          <w:rFonts w:ascii="宋体" w:hAnsi="宋体" w:eastAsia="宋体"/>
          <w:b/>
          <w:snapToGrid w:val="0"/>
          <w:sz w:val="48"/>
          <w:szCs w:val="48"/>
          <w:highlight w:val="none"/>
        </w:rPr>
      </w:pPr>
    </w:p>
    <w:p>
      <w:pPr>
        <w:adjustRightInd w:val="0"/>
        <w:snapToGrid w:val="0"/>
        <w:spacing w:line="360" w:lineRule="auto"/>
        <w:rPr>
          <w:rFonts w:ascii="宋体" w:hAnsi="宋体" w:eastAsia="宋体"/>
          <w:b/>
          <w:snapToGrid w:val="0"/>
          <w:sz w:val="48"/>
          <w:szCs w:val="48"/>
          <w:highlight w:val="none"/>
        </w:rPr>
      </w:pPr>
    </w:p>
    <w:p>
      <w:pPr>
        <w:jc w:val="center"/>
        <w:rPr>
          <w:rFonts w:ascii="宋体" w:hAnsi="宋体" w:eastAsia="宋体" w:cs="宋体"/>
          <w:bCs/>
          <w:color w:val="000000"/>
          <w:kern w:val="36"/>
          <w:sz w:val="36"/>
          <w:szCs w:val="36"/>
          <w:highlight w:val="none"/>
        </w:rPr>
      </w:pPr>
      <w:r>
        <w:rPr>
          <w:rFonts w:hint="eastAsia" w:ascii="宋体" w:hAnsi="宋体" w:eastAsia="宋体" w:cs="宋体"/>
          <w:bCs/>
          <w:color w:val="000000"/>
          <w:kern w:val="36"/>
          <w:sz w:val="36"/>
          <w:szCs w:val="36"/>
          <w:highlight w:val="none"/>
        </w:rPr>
        <w:t>南京大学基本建设处</w:t>
      </w:r>
    </w:p>
    <w:p>
      <w:pPr>
        <w:spacing w:before="120" w:beforeLines="50"/>
        <w:jc w:val="center"/>
        <w:rPr>
          <w:rFonts w:ascii="宋体" w:hAnsi="宋体" w:eastAsia="宋体" w:cs="宋体"/>
          <w:bCs/>
          <w:color w:val="000000"/>
          <w:kern w:val="36"/>
          <w:sz w:val="44"/>
          <w:szCs w:val="44"/>
          <w:highlight w:val="none"/>
        </w:rPr>
      </w:pPr>
      <w:r>
        <w:rPr>
          <w:rFonts w:ascii="宋体" w:hAnsi="宋体" w:eastAsia="宋体" w:cs="宋体"/>
          <w:bCs/>
          <w:color w:val="000000"/>
          <w:kern w:val="36"/>
          <w:sz w:val="36"/>
          <w:szCs w:val="36"/>
          <w:highlight w:val="none"/>
        </w:rPr>
        <w:t>20</w:t>
      </w:r>
      <w:r>
        <w:rPr>
          <w:rFonts w:ascii="宋体" w:hAnsi="宋体" w:eastAsia="宋体" w:cs="宋体"/>
          <w:bCs/>
          <w:kern w:val="36"/>
          <w:sz w:val="36"/>
          <w:szCs w:val="36"/>
          <w:highlight w:val="none"/>
        </w:rPr>
        <w:t>19</w:t>
      </w:r>
      <w:r>
        <w:rPr>
          <w:rFonts w:hint="eastAsia" w:ascii="宋体" w:hAnsi="宋体" w:eastAsia="宋体" w:cs="宋体"/>
          <w:bCs/>
          <w:kern w:val="36"/>
          <w:sz w:val="36"/>
          <w:szCs w:val="36"/>
          <w:highlight w:val="none"/>
        </w:rPr>
        <w:t>年 7月2</w:t>
      </w:r>
      <w:r>
        <w:rPr>
          <w:rFonts w:hint="eastAsia" w:ascii="宋体" w:hAnsi="宋体" w:eastAsia="宋体" w:cs="宋体"/>
          <w:bCs/>
          <w:kern w:val="36"/>
          <w:sz w:val="36"/>
          <w:szCs w:val="36"/>
          <w:highlight w:val="none"/>
          <w:lang w:val="en-US" w:eastAsia="zh-CN"/>
        </w:rPr>
        <w:t>9</w:t>
      </w:r>
      <w:r>
        <w:rPr>
          <w:rFonts w:hint="eastAsia" w:ascii="宋体" w:hAnsi="宋体" w:eastAsia="宋体" w:cs="宋体"/>
          <w:bCs/>
          <w:kern w:val="36"/>
          <w:sz w:val="36"/>
          <w:szCs w:val="36"/>
          <w:highlight w:val="none"/>
        </w:rPr>
        <w:t>日</w:t>
      </w:r>
    </w:p>
    <w:p>
      <w:pPr>
        <w:adjustRightInd w:val="0"/>
        <w:snapToGrid w:val="0"/>
        <w:spacing w:line="360" w:lineRule="auto"/>
        <w:jc w:val="center"/>
        <w:rPr>
          <w:rFonts w:ascii="宋体" w:hAnsi="宋体" w:eastAsia="宋体"/>
          <w:b/>
          <w:snapToGrid w:val="0"/>
          <w:sz w:val="48"/>
          <w:szCs w:val="48"/>
          <w:highlight w:val="none"/>
        </w:rPr>
      </w:pPr>
      <w:r>
        <w:rPr>
          <w:rFonts w:ascii="宋体" w:hAnsi="宋体" w:eastAsia="宋体"/>
          <w:b/>
          <w:snapToGrid w:val="0"/>
          <w:sz w:val="32"/>
          <w:szCs w:val="32"/>
          <w:highlight w:val="none"/>
        </w:rPr>
        <w:br w:type="page"/>
      </w:r>
      <w:r>
        <w:rPr>
          <w:rFonts w:hint="eastAsia" w:ascii="宋体" w:hAnsi="宋体" w:eastAsia="宋体"/>
          <w:b/>
          <w:snapToGrid w:val="0"/>
          <w:sz w:val="48"/>
          <w:szCs w:val="48"/>
          <w:highlight w:val="none"/>
        </w:rPr>
        <w:t>目</w:t>
      </w:r>
      <w:r>
        <w:rPr>
          <w:rFonts w:ascii="宋体" w:hAnsi="宋体" w:eastAsia="宋体"/>
          <w:b/>
          <w:snapToGrid w:val="0"/>
          <w:sz w:val="48"/>
          <w:szCs w:val="48"/>
          <w:highlight w:val="none"/>
        </w:rPr>
        <w:t xml:space="preserve">  </w:t>
      </w:r>
      <w:r>
        <w:rPr>
          <w:rFonts w:hint="eastAsia" w:ascii="宋体" w:hAnsi="宋体" w:eastAsia="宋体"/>
          <w:b/>
          <w:snapToGrid w:val="0"/>
          <w:sz w:val="48"/>
          <w:szCs w:val="48"/>
          <w:highlight w:val="none"/>
        </w:rPr>
        <w:t>录</w:t>
      </w:r>
    </w:p>
    <w:p>
      <w:pPr>
        <w:pStyle w:val="28"/>
        <w:tabs>
          <w:tab w:val="right" w:leader="dot" w:pos="9071"/>
        </w:tabs>
        <w:rPr>
          <w:highlight w:val="none"/>
        </w:rPr>
      </w:pPr>
      <w:r>
        <w:rPr>
          <w:rStyle w:val="46"/>
          <w:rFonts w:ascii="宋体" w:hAnsi="宋体" w:eastAsia="宋体"/>
          <w:bCs/>
          <w:snapToGrid w:val="0"/>
          <w:color w:val="auto"/>
          <w:sz w:val="30"/>
          <w:szCs w:val="30"/>
          <w:highlight w:val="none"/>
          <w:u w:val="none"/>
        </w:rPr>
        <w:fldChar w:fldCharType="begin"/>
      </w:r>
      <w:r>
        <w:rPr>
          <w:rStyle w:val="46"/>
          <w:rFonts w:ascii="宋体" w:hAnsi="宋体" w:eastAsia="宋体"/>
          <w:bCs/>
          <w:snapToGrid w:val="0"/>
          <w:color w:val="auto"/>
          <w:sz w:val="30"/>
          <w:szCs w:val="30"/>
          <w:highlight w:val="none"/>
          <w:u w:val="none"/>
        </w:rPr>
        <w:instrText xml:space="preserve"> TOC \o "1-3" \h \z \u </w:instrText>
      </w:r>
      <w:r>
        <w:rPr>
          <w:rStyle w:val="46"/>
          <w:rFonts w:ascii="宋体" w:hAnsi="宋体" w:eastAsia="宋体"/>
          <w:bCs/>
          <w:snapToGrid w:val="0"/>
          <w:color w:val="auto"/>
          <w:sz w:val="30"/>
          <w:szCs w:val="30"/>
          <w:highlight w:val="none"/>
          <w:u w:val="none"/>
        </w:rPr>
        <w:fldChar w:fldCharType="separate"/>
      </w: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_Toc6685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第一章</w:t>
      </w:r>
      <w:r>
        <w:rPr>
          <w:rFonts w:ascii="宋体" w:hAnsi="宋体" w:eastAsia="宋体"/>
          <w:snapToGrid w:val="0"/>
          <w:highlight w:val="none"/>
        </w:rPr>
        <w:t xml:space="preserve"> </w:t>
      </w:r>
      <w:r>
        <w:rPr>
          <w:rFonts w:hint="eastAsia" w:ascii="宋体" w:hAnsi="宋体" w:eastAsia="宋体"/>
          <w:snapToGrid w:val="0"/>
          <w:highlight w:val="none"/>
        </w:rPr>
        <w:t>投标须知</w:t>
      </w:r>
      <w:r>
        <w:rPr>
          <w:highlight w:val="none"/>
        </w:rPr>
        <w:tab/>
      </w:r>
      <w:r>
        <w:rPr>
          <w:highlight w:val="none"/>
        </w:rPr>
        <w:fldChar w:fldCharType="begin"/>
      </w:r>
      <w:r>
        <w:rPr>
          <w:highlight w:val="none"/>
        </w:rPr>
        <w:instrText xml:space="preserve"> PAGEREF _Toc6685 </w:instrText>
      </w:r>
      <w:r>
        <w:rPr>
          <w:highlight w:val="none"/>
        </w:rPr>
        <w:fldChar w:fldCharType="separate"/>
      </w:r>
      <w:r>
        <w:rPr>
          <w:highlight w:val="none"/>
        </w:rPr>
        <w:t>3</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_Toc27983 </w:instrText>
      </w:r>
      <w:r>
        <w:rPr>
          <w:rFonts w:ascii="宋体" w:hAnsi="宋体" w:eastAsia="宋体"/>
          <w:bCs/>
          <w:snapToGrid w:val="0"/>
          <w:szCs w:val="30"/>
          <w:highlight w:val="none"/>
        </w:rPr>
        <w:fldChar w:fldCharType="separate"/>
      </w:r>
      <w:r>
        <w:rPr>
          <w:rFonts w:hint="eastAsia" w:ascii="宋体" w:hAnsi="宋体" w:eastAsia="宋体"/>
          <w:szCs w:val="28"/>
          <w:highlight w:val="none"/>
        </w:rPr>
        <w:t>前</w:t>
      </w:r>
      <w:r>
        <w:rPr>
          <w:rFonts w:ascii="宋体" w:hAnsi="宋体" w:eastAsia="宋体"/>
          <w:szCs w:val="28"/>
          <w:highlight w:val="none"/>
        </w:rPr>
        <w:t xml:space="preserve"> </w:t>
      </w:r>
      <w:r>
        <w:rPr>
          <w:rFonts w:hint="eastAsia" w:ascii="宋体" w:hAnsi="宋体" w:eastAsia="宋体"/>
          <w:szCs w:val="28"/>
          <w:highlight w:val="none"/>
        </w:rPr>
        <w:t>附</w:t>
      </w:r>
      <w:r>
        <w:rPr>
          <w:rFonts w:ascii="宋体" w:hAnsi="宋体" w:eastAsia="宋体"/>
          <w:szCs w:val="28"/>
          <w:highlight w:val="none"/>
        </w:rPr>
        <w:t xml:space="preserve"> </w:t>
      </w:r>
      <w:r>
        <w:rPr>
          <w:rFonts w:hint="eastAsia" w:ascii="宋体" w:hAnsi="宋体" w:eastAsia="宋体"/>
          <w:szCs w:val="28"/>
          <w:highlight w:val="none"/>
        </w:rPr>
        <w:t>表</w:t>
      </w:r>
      <w:r>
        <w:rPr>
          <w:highlight w:val="none"/>
        </w:rPr>
        <w:tab/>
      </w:r>
      <w:r>
        <w:rPr>
          <w:highlight w:val="none"/>
        </w:rPr>
        <w:fldChar w:fldCharType="begin"/>
      </w:r>
      <w:r>
        <w:rPr>
          <w:highlight w:val="none"/>
        </w:rPr>
        <w:instrText xml:space="preserve"> PAGEREF _Toc27983 </w:instrText>
      </w:r>
      <w:r>
        <w:rPr>
          <w:highlight w:val="none"/>
        </w:rPr>
        <w:fldChar w:fldCharType="separate"/>
      </w:r>
      <w:r>
        <w:rPr>
          <w:highlight w:val="none"/>
        </w:rPr>
        <w:t>3</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_Toc32710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一、总</w:t>
      </w:r>
      <w:r>
        <w:rPr>
          <w:rFonts w:ascii="宋体" w:hAnsi="宋体" w:eastAsia="宋体"/>
          <w:snapToGrid w:val="0"/>
          <w:szCs w:val="28"/>
          <w:highlight w:val="none"/>
        </w:rPr>
        <w:t xml:space="preserve">    </w:t>
      </w:r>
      <w:r>
        <w:rPr>
          <w:rFonts w:hint="eastAsia" w:ascii="宋体" w:hAnsi="宋体" w:eastAsia="宋体"/>
          <w:snapToGrid w:val="0"/>
          <w:szCs w:val="28"/>
          <w:highlight w:val="none"/>
        </w:rPr>
        <w:t>则</w:t>
      </w:r>
      <w:r>
        <w:rPr>
          <w:highlight w:val="none"/>
        </w:rPr>
        <w:tab/>
      </w:r>
      <w:r>
        <w:rPr>
          <w:highlight w:val="none"/>
        </w:rPr>
        <w:fldChar w:fldCharType="begin"/>
      </w:r>
      <w:r>
        <w:rPr>
          <w:highlight w:val="none"/>
        </w:rPr>
        <w:instrText xml:space="preserve"> PAGEREF _Toc32710 </w:instrText>
      </w:r>
      <w:r>
        <w:rPr>
          <w:highlight w:val="none"/>
        </w:rPr>
        <w:fldChar w:fldCharType="separate"/>
      </w:r>
      <w:r>
        <w:rPr>
          <w:highlight w:val="none"/>
        </w:rPr>
        <w:t>4</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_Toc8175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二、招标文件</w:t>
      </w:r>
      <w:r>
        <w:rPr>
          <w:highlight w:val="none"/>
        </w:rPr>
        <w:tab/>
      </w:r>
      <w:r>
        <w:rPr>
          <w:highlight w:val="none"/>
        </w:rPr>
        <w:fldChar w:fldCharType="begin"/>
      </w:r>
      <w:r>
        <w:rPr>
          <w:highlight w:val="none"/>
        </w:rPr>
        <w:instrText xml:space="preserve"> PAGEREF _Toc8175 </w:instrText>
      </w:r>
      <w:r>
        <w:rPr>
          <w:highlight w:val="none"/>
        </w:rPr>
        <w:fldChar w:fldCharType="separate"/>
      </w:r>
      <w:r>
        <w:rPr>
          <w:highlight w:val="none"/>
        </w:rPr>
        <w:t>6</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_Toc1465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三、投标报价</w:t>
      </w:r>
      <w:r>
        <w:rPr>
          <w:highlight w:val="none"/>
        </w:rPr>
        <w:tab/>
      </w:r>
      <w:r>
        <w:rPr>
          <w:highlight w:val="none"/>
        </w:rPr>
        <w:fldChar w:fldCharType="begin"/>
      </w:r>
      <w:r>
        <w:rPr>
          <w:highlight w:val="none"/>
        </w:rPr>
        <w:instrText xml:space="preserve"> PAGEREF _Toc1465 </w:instrText>
      </w:r>
      <w:r>
        <w:rPr>
          <w:highlight w:val="none"/>
        </w:rPr>
        <w:fldChar w:fldCharType="separate"/>
      </w:r>
      <w:r>
        <w:rPr>
          <w:highlight w:val="none"/>
        </w:rPr>
        <w:t>7</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_Toc23229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四、投标文件的编制</w:t>
      </w:r>
      <w:r>
        <w:rPr>
          <w:highlight w:val="none"/>
        </w:rPr>
        <w:tab/>
      </w:r>
      <w:r>
        <w:rPr>
          <w:highlight w:val="none"/>
        </w:rPr>
        <w:fldChar w:fldCharType="begin"/>
      </w:r>
      <w:r>
        <w:rPr>
          <w:highlight w:val="none"/>
        </w:rPr>
        <w:instrText xml:space="preserve"> PAGEREF _Toc23229 </w:instrText>
      </w:r>
      <w:r>
        <w:rPr>
          <w:highlight w:val="none"/>
        </w:rPr>
        <w:fldChar w:fldCharType="separate"/>
      </w:r>
      <w:r>
        <w:rPr>
          <w:highlight w:val="none"/>
        </w:rPr>
        <w:t>9</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_Toc31994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五、投标文件的递交</w:t>
      </w:r>
      <w:r>
        <w:rPr>
          <w:highlight w:val="none"/>
        </w:rPr>
        <w:tab/>
      </w:r>
      <w:r>
        <w:rPr>
          <w:highlight w:val="none"/>
        </w:rPr>
        <w:fldChar w:fldCharType="begin"/>
      </w:r>
      <w:r>
        <w:rPr>
          <w:highlight w:val="none"/>
        </w:rPr>
        <w:instrText xml:space="preserve"> PAGEREF _Toc31994 </w:instrText>
      </w:r>
      <w:r>
        <w:rPr>
          <w:highlight w:val="none"/>
        </w:rPr>
        <w:fldChar w:fldCharType="separate"/>
      </w:r>
      <w:r>
        <w:rPr>
          <w:highlight w:val="none"/>
        </w:rPr>
        <w:t>10</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_Toc21784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六、开</w:t>
      </w:r>
      <w:r>
        <w:rPr>
          <w:rFonts w:ascii="宋体" w:hAnsi="宋体" w:eastAsia="宋体"/>
          <w:snapToGrid w:val="0"/>
          <w:szCs w:val="28"/>
          <w:highlight w:val="none"/>
        </w:rPr>
        <w:t xml:space="preserve">    </w:t>
      </w:r>
      <w:r>
        <w:rPr>
          <w:rFonts w:hint="eastAsia" w:ascii="宋体" w:hAnsi="宋体" w:eastAsia="宋体"/>
          <w:snapToGrid w:val="0"/>
          <w:szCs w:val="28"/>
          <w:highlight w:val="none"/>
        </w:rPr>
        <w:t>标</w:t>
      </w:r>
      <w:r>
        <w:rPr>
          <w:highlight w:val="none"/>
        </w:rPr>
        <w:tab/>
      </w:r>
      <w:r>
        <w:rPr>
          <w:highlight w:val="none"/>
        </w:rPr>
        <w:fldChar w:fldCharType="begin"/>
      </w:r>
      <w:r>
        <w:rPr>
          <w:highlight w:val="none"/>
        </w:rPr>
        <w:instrText xml:space="preserve"> PAGEREF _Toc21784 </w:instrText>
      </w:r>
      <w:r>
        <w:rPr>
          <w:highlight w:val="none"/>
        </w:rPr>
        <w:fldChar w:fldCharType="separate"/>
      </w:r>
      <w:r>
        <w:rPr>
          <w:highlight w:val="none"/>
        </w:rPr>
        <w:t>11</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_Toc26669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七、评</w:t>
      </w:r>
      <w:r>
        <w:rPr>
          <w:rFonts w:ascii="宋体" w:hAnsi="宋体" w:eastAsia="宋体"/>
          <w:snapToGrid w:val="0"/>
          <w:szCs w:val="28"/>
          <w:highlight w:val="none"/>
        </w:rPr>
        <w:t xml:space="preserve">    </w:t>
      </w:r>
      <w:r>
        <w:rPr>
          <w:rFonts w:hint="eastAsia" w:ascii="宋体" w:hAnsi="宋体" w:eastAsia="宋体"/>
          <w:snapToGrid w:val="0"/>
          <w:szCs w:val="28"/>
          <w:highlight w:val="none"/>
        </w:rPr>
        <w:t>标</w:t>
      </w:r>
      <w:r>
        <w:rPr>
          <w:highlight w:val="none"/>
        </w:rPr>
        <w:tab/>
      </w:r>
      <w:r>
        <w:rPr>
          <w:highlight w:val="none"/>
        </w:rPr>
        <w:fldChar w:fldCharType="begin"/>
      </w:r>
      <w:r>
        <w:rPr>
          <w:highlight w:val="none"/>
        </w:rPr>
        <w:instrText xml:space="preserve"> PAGEREF _Toc26669 </w:instrText>
      </w:r>
      <w:r>
        <w:rPr>
          <w:highlight w:val="none"/>
        </w:rPr>
        <w:fldChar w:fldCharType="separate"/>
      </w:r>
      <w:r>
        <w:rPr>
          <w:highlight w:val="none"/>
        </w:rPr>
        <w:t>12</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_Toc5327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八、授予合同</w:t>
      </w:r>
      <w:r>
        <w:rPr>
          <w:highlight w:val="none"/>
        </w:rPr>
        <w:tab/>
      </w:r>
      <w:r>
        <w:rPr>
          <w:highlight w:val="none"/>
        </w:rPr>
        <w:fldChar w:fldCharType="begin"/>
      </w:r>
      <w:r>
        <w:rPr>
          <w:highlight w:val="none"/>
        </w:rPr>
        <w:instrText xml:space="preserve"> PAGEREF _Toc5327 </w:instrText>
      </w:r>
      <w:r>
        <w:rPr>
          <w:highlight w:val="none"/>
        </w:rPr>
        <w:fldChar w:fldCharType="separate"/>
      </w:r>
      <w:r>
        <w:rPr>
          <w:highlight w:val="none"/>
        </w:rPr>
        <w:t>14</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_Toc29883 </w:instrText>
      </w:r>
      <w:r>
        <w:rPr>
          <w:rFonts w:ascii="宋体" w:hAnsi="宋体" w:eastAsia="宋体"/>
          <w:bCs/>
          <w:snapToGrid w:val="0"/>
          <w:szCs w:val="30"/>
          <w:highlight w:val="none"/>
        </w:rPr>
        <w:fldChar w:fldCharType="separate"/>
      </w:r>
      <w:r>
        <w:rPr>
          <w:rFonts w:hint="eastAsia" w:ascii="宋体" w:hAnsi="宋体" w:eastAsia="宋体"/>
          <w:szCs w:val="36"/>
          <w:highlight w:val="none"/>
        </w:rPr>
        <w:t>附件：评标办法（综合评估法）</w:t>
      </w:r>
      <w:r>
        <w:rPr>
          <w:highlight w:val="none"/>
        </w:rPr>
        <w:tab/>
      </w:r>
      <w:r>
        <w:rPr>
          <w:highlight w:val="none"/>
        </w:rPr>
        <w:fldChar w:fldCharType="begin"/>
      </w:r>
      <w:r>
        <w:rPr>
          <w:highlight w:val="none"/>
        </w:rPr>
        <w:instrText xml:space="preserve"> PAGEREF _Toc29883 </w:instrText>
      </w:r>
      <w:r>
        <w:rPr>
          <w:highlight w:val="none"/>
        </w:rPr>
        <w:fldChar w:fldCharType="separate"/>
      </w:r>
      <w:r>
        <w:rPr>
          <w:highlight w:val="none"/>
        </w:rPr>
        <w:t>16</w:t>
      </w:r>
      <w:r>
        <w:rPr>
          <w:highlight w:val="none"/>
        </w:rPr>
        <w:fldChar w:fldCharType="end"/>
      </w:r>
      <w:r>
        <w:rPr>
          <w:rFonts w:ascii="宋体" w:hAnsi="宋体" w:eastAsia="宋体"/>
          <w:bCs/>
          <w:snapToGrid w:val="0"/>
          <w:color w:val="auto"/>
          <w:szCs w:val="30"/>
          <w:highlight w:val="none"/>
          <w:u w:val="none"/>
        </w:rPr>
        <w:fldChar w:fldCharType="end"/>
      </w:r>
    </w:p>
    <w:p>
      <w:pPr>
        <w:pStyle w:val="28"/>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_Toc7470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第二章</w:t>
      </w:r>
      <w:r>
        <w:rPr>
          <w:rFonts w:ascii="宋体" w:hAnsi="宋体" w:eastAsia="宋体"/>
          <w:snapToGrid w:val="0"/>
          <w:highlight w:val="none"/>
        </w:rPr>
        <w:t xml:space="preserve"> </w:t>
      </w:r>
      <w:r>
        <w:rPr>
          <w:rFonts w:hint="eastAsia" w:ascii="宋体" w:hAnsi="宋体" w:eastAsia="宋体"/>
          <w:snapToGrid w:val="0"/>
          <w:highlight w:val="none"/>
        </w:rPr>
        <w:t>合同</w:t>
      </w:r>
      <w:r>
        <w:rPr>
          <w:highlight w:val="none"/>
        </w:rPr>
        <w:tab/>
      </w:r>
      <w:r>
        <w:rPr>
          <w:highlight w:val="none"/>
        </w:rPr>
        <w:fldChar w:fldCharType="begin"/>
      </w:r>
      <w:r>
        <w:rPr>
          <w:highlight w:val="none"/>
        </w:rPr>
        <w:instrText xml:space="preserve"> PAGEREF _Toc7470 </w:instrText>
      </w:r>
      <w:r>
        <w:rPr>
          <w:highlight w:val="none"/>
        </w:rPr>
        <w:fldChar w:fldCharType="separate"/>
      </w:r>
      <w:r>
        <w:rPr>
          <w:highlight w:val="none"/>
        </w:rPr>
        <w:t>18</w:t>
      </w:r>
      <w:r>
        <w:rPr>
          <w:highlight w:val="none"/>
        </w:rPr>
        <w:fldChar w:fldCharType="end"/>
      </w:r>
      <w:r>
        <w:rPr>
          <w:rFonts w:ascii="宋体" w:hAnsi="宋体" w:eastAsia="宋体"/>
          <w:bCs/>
          <w:snapToGrid w:val="0"/>
          <w:color w:val="auto"/>
          <w:szCs w:val="30"/>
          <w:highlight w:val="none"/>
          <w:u w:val="none"/>
        </w:rPr>
        <w:fldChar w:fldCharType="end"/>
      </w:r>
    </w:p>
    <w:p>
      <w:pPr>
        <w:pStyle w:val="28"/>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_Toc7709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第三章 技术规范</w:t>
      </w:r>
      <w:r>
        <w:rPr>
          <w:highlight w:val="none"/>
        </w:rPr>
        <w:tab/>
      </w:r>
      <w:r>
        <w:rPr>
          <w:highlight w:val="none"/>
        </w:rPr>
        <w:fldChar w:fldCharType="begin"/>
      </w:r>
      <w:r>
        <w:rPr>
          <w:highlight w:val="none"/>
        </w:rPr>
        <w:instrText xml:space="preserve"> PAGEREF _Toc7709 </w:instrText>
      </w:r>
      <w:r>
        <w:rPr>
          <w:highlight w:val="none"/>
        </w:rPr>
        <w:fldChar w:fldCharType="separate"/>
      </w:r>
      <w:r>
        <w:rPr>
          <w:highlight w:val="none"/>
        </w:rPr>
        <w:t>31</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_Toc29608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一、 本工程采用的计价规范</w:t>
      </w:r>
      <w:r>
        <w:rPr>
          <w:highlight w:val="none"/>
        </w:rPr>
        <w:tab/>
      </w:r>
      <w:r>
        <w:rPr>
          <w:highlight w:val="none"/>
        </w:rPr>
        <w:fldChar w:fldCharType="begin"/>
      </w:r>
      <w:r>
        <w:rPr>
          <w:highlight w:val="none"/>
        </w:rPr>
        <w:instrText xml:space="preserve"> PAGEREF _Toc29608 </w:instrText>
      </w:r>
      <w:r>
        <w:rPr>
          <w:highlight w:val="none"/>
        </w:rPr>
        <w:fldChar w:fldCharType="separate"/>
      </w:r>
      <w:r>
        <w:rPr>
          <w:highlight w:val="none"/>
        </w:rPr>
        <w:t>31</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_Toc21617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二、 本工程采用的技术规范</w:t>
      </w:r>
      <w:r>
        <w:rPr>
          <w:highlight w:val="none"/>
        </w:rPr>
        <w:tab/>
      </w:r>
      <w:r>
        <w:rPr>
          <w:highlight w:val="none"/>
        </w:rPr>
        <w:fldChar w:fldCharType="begin"/>
      </w:r>
      <w:r>
        <w:rPr>
          <w:highlight w:val="none"/>
        </w:rPr>
        <w:instrText xml:space="preserve"> PAGEREF _Toc21617 </w:instrText>
      </w:r>
      <w:r>
        <w:rPr>
          <w:highlight w:val="none"/>
        </w:rPr>
        <w:fldChar w:fldCharType="separate"/>
      </w:r>
      <w:r>
        <w:rPr>
          <w:highlight w:val="none"/>
        </w:rPr>
        <w:t>31</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_Toc3725 </w:instrText>
      </w:r>
      <w:r>
        <w:rPr>
          <w:rFonts w:ascii="宋体" w:hAnsi="宋体" w:eastAsia="宋体"/>
          <w:bCs/>
          <w:snapToGrid w:val="0"/>
          <w:szCs w:val="30"/>
          <w:highlight w:val="none"/>
        </w:rPr>
        <w:fldChar w:fldCharType="separate"/>
      </w:r>
      <w:r>
        <w:rPr>
          <w:rFonts w:hint="eastAsia" w:ascii="宋体" w:hAnsi="宋体" w:eastAsia="宋体"/>
          <w:snapToGrid w:val="0"/>
          <w:szCs w:val="28"/>
          <w:highlight w:val="none"/>
        </w:rPr>
        <w:t>三、 对施工工艺的特殊要求</w:t>
      </w:r>
      <w:r>
        <w:rPr>
          <w:highlight w:val="none"/>
        </w:rPr>
        <w:tab/>
      </w:r>
      <w:r>
        <w:rPr>
          <w:highlight w:val="none"/>
        </w:rPr>
        <w:fldChar w:fldCharType="begin"/>
      </w:r>
      <w:r>
        <w:rPr>
          <w:highlight w:val="none"/>
        </w:rPr>
        <w:instrText xml:space="preserve"> PAGEREF _Toc3725 </w:instrText>
      </w:r>
      <w:r>
        <w:rPr>
          <w:highlight w:val="none"/>
        </w:rPr>
        <w:fldChar w:fldCharType="separate"/>
      </w:r>
      <w:r>
        <w:rPr>
          <w:highlight w:val="none"/>
        </w:rPr>
        <w:t>31</w:t>
      </w:r>
      <w:r>
        <w:rPr>
          <w:highlight w:val="none"/>
        </w:rPr>
        <w:fldChar w:fldCharType="end"/>
      </w:r>
      <w:r>
        <w:rPr>
          <w:rFonts w:ascii="宋体" w:hAnsi="宋体" w:eastAsia="宋体"/>
          <w:bCs/>
          <w:snapToGrid w:val="0"/>
          <w:color w:val="auto"/>
          <w:szCs w:val="30"/>
          <w:highlight w:val="none"/>
          <w:u w:val="none"/>
        </w:rPr>
        <w:fldChar w:fldCharType="end"/>
      </w:r>
    </w:p>
    <w:p>
      <w:pPr>
        <w:pStyle w:val="28"/>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_Toc2244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第四章 工程量清单（另附）</w:t>
      </w:r>
      <w:r>
        <w:rPr>
          <w:highlight w:val="none"/>
        </w:rPr>
        <w:tab/>
      </w:r>
      <w:r>
        <w:rPr>
          <w:highlight w:val="none"/>
        </w:rPr>
        <w:fldChar w:fldCharType="begin"/>
      </w:r>
      <w:r>
        <w:rPr>
          <w:highlight w:val="none"/>
        </w:rPr>
        <w:instrText xml:space="preserve"> PAGEREF _Toc2244 </w:instrText>
      </w:r>
      <w:r>
        <w:rPr>
          <w:highlight w:val="none"/>
        </w:rPr>
        <w:fldChar w:fldCharType="separate"/>
      </w:r>
      <w:r>
        <w:rPr>
          <w:highlight w:val="none"/>
        </w:rPr>
        <w:t>31</w:t>
      </w:r>
      <w:r>
        <w:rPr>
          <w:highlight w:val="none"/>
        </w:rPr>
        <w:fldChar w:fldCharType="end"/>
      </w:r>
      <w:r>
        <w:rPr>
          <w:rFonts w:ascii="宋体" w:hAnsi="宋体" w:eastAsia="宋体"/>
          <w:bCs/>
          <w:snapToGrid w:val="0"/>
          <w:color w:val="auto"/>
          <w:szCs w:val="30"/>
          <w:highlight w:val="none"/>
          <w:u w:val="none"/>
        </w:rPr>
        <w:fldChar w:fldCharType="end"/>
      </w:r>
    </w:p>
    <w:p>
      <w:pPr>
        <w:pStyle w:val="28"/>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_Toc9899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第五章 图纸和技术资料（另附）</w:t>
      </w:r>
      <w:r>
        <w:rPr>
          <w:highlight w:val="none"/>
        </w:rPr>
        <w:tab/>
      </w:r>
      <w:r>
        <w:rPr>
          <w:highlight w:val="none"/>
        </w:rPr>
        <w:fldChar w:fldCharType="begin"/>
      </w:r>
      <w:r>
        <w:rPr>
          <w:highlight w:val="none"/>
        </w:rPr>
        <w:instrText xml:space="preserve"> PAGEREF _Toc9899 </w:instrText>
      </w:r>
      <w:r>
        <w:rPr>
          <w:highlight w:val="none"/>
        </w:rPr>
        <w:fldChar w:fldCharType="separate"/>
      </w:r>
      <w:r>
        <w:rPr>
          <w:highlight w:val="none"/>
        </w:rPr>
        <w:t>31</w:t>
      </w:r>
      <w:r>
        <w:rPr>
          <w:highlight w:val="none"/>
        </w:rPr>
        <w:fldChar w:fldCharType="end"/>
      </w:r>
      <w:r>
        <w:rPr>
          <w:rFonts w:ascii="宋体" w:hAnsi="宋体" w:eastAsia="宋体"/>
          <w:bCs/>
          <w:snapToGrid w:val="0"/>
          <w:color w:val="auto"/>
          <w:szCs w:val="30"/>
          <w:highlight w:val="none"/>
          <w:u w:val="none"/>
        </w:rPr>
        <w:fldChar w:fldCharType="end"/>
      </w:r>
    </w:p>
    <w:p>
      <w:pPr>
        <w:pStyle w:val="28"/>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_Toc21696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第六章 投标文件（格式）</w:t>
      </w:r>
      <w:r>
        <w:rPr>
          <w:highlight w:val="none"/>
        </w:rPr>
        <w:tab/>
      </w:r>
      <w:r>
        <w:rPr>
          <w:highlight w:val="none"/>
        </w:rPr>
        <w:fldChar w:fldCharType="begin"/>
      </w:r>
      <w:r>
        <w:rPr>
          <w:highlight w:val="none"/>
        </w:rPr>
        <w:instrText xml:space="preserve"> PAGEREF _Toc21696 </w:instrText>
      </w:r>
      <w:r>
        <w:rPr>
          <w:highlight w:val="none"/>
        </w:rPr>
        <w:fldChar w:fldCharType="separate"/>
      </w:r>
      <w:r>
        <w:rPr>
          <w:highlight w:val="none"/>
        </w:rPr>
        <w:t>32</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_Toc27348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一、投标函</w:t>
      </w:r>
      <w:r>
        <w:rPr>
          <w:highlight w:val="none"/>
        </w:rPr>
        <w:tab/>
      </w:r>
      <w:r>
        <w:rPr>
          <w:highlight w:val="none"/>
        </w:rPr>
        <w:fldChar w:fldCharType="begin"/>
      </w:r>
      <w:r>
        <w:rPr>
          <w:highlight w:val="none"/>
        </w:rPr>
        <w:instrText xml:space="preserve"> PAGEREF _Toc27348 </w:instrText>
      </w:r>
      <w:r>
        <w:rPr>
          <w:highlight w:val="none"/>
        </w:rPr>
        <w:fldChar w:fldCharType="separate"/>
      </w:r>
      <w:r>
        <w:rPr>
          <w:highlight w:val="none"/>
        </w:rPr>
        <w:t>33</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_Toc24724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二、法定代表人资格证明书</w:t>
      </w:r>
      <w:r>
        <w:rPr>
          <w:highlight w:val="none"/>
        </w:rPr>
        <w:tab/>
      </w:r>
      <w:r>
        <w:rPr>
          <w:highlight w:val="none"/>
        </w:rPr>
        <w:fldChar w:fldCharType="begin"/>
      </w:r>
      <w:r>
        <w:rPr>
          <w:highlight w:val="none"/>
        </w:rPr>
        <w:instrText xml:space="preserve"> PAGEREF _Toc24724 </w:instrText>
      </w:r>
      <w:r>
        <w:rPr>
          <w:highlight w:val="none"/>
        </w:rPr>
        <w:fldChar w:fldCharType="separate"/>
      </w:r>
      <w:r>
        <w:rPr>
          <w:highlight w:val="none"/>
        </w:rPr>
        <w:t>34</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_Toc19601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三、授权委托书</w:t>
      </w:r>
      <w:r>
        <w:rPr>
          <w:highlight w:val="none"/>
        </w:rPr>
        <w:tab/>
      </w:r>
      <w:r>
        <w:rPr>
          <w:highlight w:val="none"/>
        </w:rPr>
        <w:fldChar w:fldCharType="begin"/>
      </w:r>
      <w:r>
        <w:rPr>
          <w:highlight w:val="none"/>
        </w:rPr>
        <w:instrText xml:space="preserve"> PAGEREF _Toc19601 </w:instrText>
      </w:r>
      <w:r>
        <w:rPr>
          <w:highlight w:val="none"/>
        </w:rPr>
        <w:fldChar w:fldCharType="separate"/>
      </w:r>
      <w:r>
        <w:rPr>
          <w:highlight w:val="none"/>
        </w:rPr>
        <w:t>34</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_Toc337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四、投标报价</w:t>
      </w:r>
      <w:r>
        <w:rPr>
          <w:highlight w:val="none"/>
        </w:rPr>
        <w:tab/>
      </w:r>
      <w:r>
        <w:rPr>
          <w:highlight w:val="none"/>
        </w:rPr>
        <w:fldChar w:fldCharType="begin"/>
      </w:r>
      <w:r>
        <w:rPr>
          <w:highlight w:val="none"/>
        </w:rPr>
        <w:instrText xml:space="preserve"> PAGEREF _Toc337 </w:instrText>
      </w:r>
      <w:r>
        <w:rPr>
          <w:highlight w:val="none"/>
        </w:rPr>
        <w:fldChar w:fldCharType="separate"/>
      </w:r>
      <w:r>
        <w:rPr>
          <w:highlight w:val="none"/>
        </w:rPr>
        <w:t>35</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_Toc6040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五、辅助资料表</w:t>
      </w:r>
      <w:r>
        <w:rPr>
          <w:highlight w:val="none"/>
        </w:rPr>
        <w:tab/>
      </w:r>
      <w:r>
        <w:rPr>
          <w:highlight w:val="none"/>
        </w:rPr>
        <w:fldChar w:fldCharType="begin"/>
      </w:r>
      <w:r>
        <w:rPr>
          <w:highlight w:val="none"/>
        </w:rPr>
        <w:instrText xml:space="preserve"> PAGEREF _Toc6040 </w:instrText>
      </w:r>
      <w:r>
        <w:rPr>
          <w:highlight w:val="none"/>
        </w:rPr>
        <w:fldChar w:fldCharType="separate"/>
      </w:r>
      <w:r>
        <w:rPr>
          <w:highlight w:val="none"/>
        </w:rPr>
        <w:t>35</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_Toc6940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六、资格审查资料</w:t>
      </w:r>
      <w:r>
        <w:rPr>
          <w:highlight w:val="none"/>
        </w:rPr>
        <w:tab/>
      </w:r>
      <w:r>
        <w:rPr>
          <w:highlight w:val="none"/>
        </w:rPr>
        <w:fldChar w:fldCharType="begin"/>
      </w:r>
      <w:r>
        <w:rPr>
          <w:highlight w:val="none"/>
        </w:rPr>
        <w:instrText xml:space="preserve"> PAGEREF _Toc6940 </w:instrText>
      </w:r>
      <w:r>
        <w:rPr>
          <w:highlight w:val="none"/>
        </w:rPr>
        <w:fldChar w:fldCharType="separate"/>
      </w:r>
      <w:r>
        <w:rPr>
          <w:highlight w:val="none"/>
        </w:rPr>
        <w:t>36</w:t>
      </w:r>
      <w:r>
        <w:rPr>
          <w:highlight w:val="none"/>
        </w:rPr>
        <w:fldChar w:fldCharType="end"/>
      </w:r>
      <w:r>
        <w:rPr>
          <w:rFonts w:ascii="宋体" w:hAnsi="宋体" w:eastAsia="宋体"/>
          <w:bCs/>
          <w:snapToGrid w:val="0"/>
          <w:color w:val="auto"/>
          <w:szCs w:val="30"/>
          <w:highlight w:val="none"/>
          <w:u w:val="none"/>
        </w:rPr>
        <w:fldChar w:fldCharType="end"/>
      </w:r>
    </w:p>
    <w:p>
      <w:pPr>
        <w:pStyle w:val="20"/>
        <w:tabs>
          <w:tab w:val="right" w:leader="dot" w:pos="9071"/>
        </w:tabs>
        <w:rPr>
          <w:highlight w:val="none"/>
        </w:rPr>
      </w:pPr>
      <w:r>
        <w:rPr>
          <w:rFonts w:ascii="宋体" w:hAnsi="宋体" w:eastAsia="宋体"/>
          <w:bCs/>
          <w:snapToGrid w:val="0"/>
          <w:color w:val="auto"/>
          <w:szCs w:val="30"/>
          <w:highlight w:val="none"/>
          <w:u w:val="none"/>
        </w:rPr>
        <w:fldChar w:fldCharType="begin"/>
      </w:r>
      <w:r>
        <w:rPr>
          <w:rFonts w:ascii="宋体" w:hAnsi="宋体" w:eastAsia="宋体"/>
          <w:bCs/>
          <w:snapToGrid w:val="0"/>
          <w:szCs w:val="30"/>
          <w:highlight w:val="none"/>
        </w:rPr>
        <w:instrText xml:space="preserve"> HYPERLINK \l _Toc20920 </w:instrText>
      </w:r>
      <w:r>
        <w:rPr>
          <w:rFonts w:ascii="宋体" w:hAnsi="宋体" w:eastAsia="宋体"/>
          <w:bCs/>
          <w:snapToGrid w:val="0"/>
          <w:szCs w:val="30"/>
          <w:highlight w:val="none"/>
        </w:rPr>
        <w:fldChar w:fldCharType="separate"/>
      </w:r>
      <w:r>
        <w:rPr>
          <w:rFonts w:hint="eastAsia" w:ascii="宋体" w:hAnsi="宋体" w:eastAsia="宋体"/>
          <w:snapToGrid w:val="0"/>
          <w:highlight w:val="none"/>
        </w:rPr>
        <w:t>七、其他资料</w:t>
      </w:r>
      <w:r>
        <w:rPr>
          <w:highlight w:val="none"/>
        </w:rPr>
        <w:tab/>
      </w:r>
      <w:r>
        <w:rPr>
          <w:highlight w:val="none"/>
        </w:rPr>
        <w:fldChar w:fldCharType="begin"/>
      </w:r>
      <w:r>
        <w:rPr>
          <w:highlight w:val="none"/>
        </w:rPr>
        <w:instrText xml:space="preserve"> PAGEREF _Toc20920 </w:instrText>
      </w:r>
      <w:r>
        <w:rPr>
          <w:highlight w:val="none"/>
        </w:rPr>
        <w:fldChar w:fldCharType="separate"/>
      </w:r>
      <w:r>
        <w:rPr>
          <w:highlight w:val="none"/>
        </w:rPr>
        <w:t>36</w:t>
      </w:r>
      <w:r>
        <w:rPr>
          <w:highlight w:val="none"/>
        </w:rPr>
        <w:fldChar w:fldCharType="end"/>
      </w:r>
      <w:r>
        <w:rPr>
          <w:rFonts w:ascii="宋体" w:hAnsi="宋体" w:eastAsia="宋体"/>
          <w:bCs/>
          <w:snapToGrid w:val="0"/>
          <w:color w:val="auto"/>
          <w:szCs w:val="30"/>
          <w:highlight w:val="none"/>
          <w:u w:val="none"/>
        </w:rPr>
        <w:fldChar w:fldCharType="end"/>
      </w:r>
    </w:p>
    <w:p>
      <w:pPr>
        <w:pStyle w:val="38"/>
        <w:rPr>
          <w:rFonts w:ascii="宋体" w:hAnsi="宋体" w:eastAsia="宋体"/>
          <w:kern w:val="2"/>
          <w:sz w:val="24"/>
          <w:szCs w:val="24"/>
          <w:highlight w:val="none"/>
        </w:rPr>
      </w:pPr>
      <w:r>
        <w:rPr>
          <w:rFonts w:ascii="宋体" w:hAnsi="宋体" w:eastAsia="宋体"/>
          <w:bCs/>
          <w:snapToGrid w:val="0"/>
          <w:color w:val="auto"/>
          <w:szCs w:val="30"/>
          <w:highlight w:val="none"/>
          <w:u w:val="none"/>
        </w:rPr>
        <w:fldChar w:fldCharType="end"/>
      </w:r>
      <w:bookmarkStart w:id="0" w:name="_Toc329097718"/>
      <w:r>
        <w:rPr>
          <w:rFonts w:ascii="宋体" w:hAnsi="宋体" w:eastAsia="宋体"/>
          <w:kern w:val="2"/>
          <w:sz w:val="24"/>
          <w:szCs w:val="24"/>
          <w:highlight w:val="none"/>
        </w:rPr>
        <w:t xml:space="preserve"> </w:t>
      </w:r>
    </w:p>
    <w:p>
      <w:pPr>
        <w:widowControl w:val="0"/>
        <w:spacing w:line="360" w:lineRule="auto"/>
        <w:ind w:firstLine="480" w:firstLineChars="200"/>
        <w:jc w:val="both"/>
        <w:rPr>
          <w:rFonts w:ascii="宋体" w:hAnsi="宋体" w:eastAsia="宋体"/>
          <w:kern w:val="2"/>
          <w:sz w:val="24"/>
          <w:szCs w:val="24"/>
          <w:highlight w:val="none"/>
        </w:rPr>
      </w:pPr>
    </w:p>
    <w:p>
      <w:pPr>
        <w:widowControl w:val="0"/>
        <w:spacing w:line="360" w:lineRule="auto"/>
        <w:ind w:firstLine="480" w:firstLineChars="200"/>
        <w:jc w:val="both"/>
        <w:rPr>
          <w:rFonts w:ascii="宋体" w:hAnsi="宋体" w:eastAsia="宋体"/>
          <w:kern w:val="2"/>
          <w:sz w:val="24"/>
          <w:szCs w:val="24"/>
          <w:highlight w:val="none"/>
        </w:rPr>
      </w:pPr>
    </w:p>
    <w:p>
      <w:pPr>
        <w:widowControl w:val="0"/>
        <w:spacing w:line="360" w:lineRule="auto"/>
        <w:ind w:firstLine="480" w:firstLineChars="200"/>
        <w:jc w:val="both"/>
        <w:rPr>
          <w:rFonts w:ascii="宋体" w:hAnsi="宋体" w:eastAsia="宋体"/>
          <w:kern w:val="2"/>
          <w:sz w:val="24"/>
          <w:szCs w:val="24"/>
          <w:highlight w:val="none"/>
        </w:rPr>
      </w:pPr>
    </w:p>
    <w:p>
      <w:pPr>
        <w:rPr>
          <w:rFonts w:ascii="宋体" w:hAnsi="宋体" w:eastAsia="宋体"/>
          <w:b/>
          <w:snapToGrid w:val="0"/>
          <w:sz w:val="32"/>
          <w:highlight w:val="none"/>
        </w:rPr>
      </w:pPr>
      <w:r>
        <w:rPr>
          <w:rFonts w:ascii="宋体" w:hAnsi="宋体" w:eastAsia="宋体"/>
          <w:snapToGrid w:val="0"/>
          <w:highlight w:val="none"/>
        </w:rPr>
        <w:br w:type="page"/>
      </w:r>
    </w:p>
    <w:p>
      <w:pPr>
        <w:pStyle w:val="38"/>
        <w:rPr>
          <w:rFonts w:ascii="宋体" w:hAnsi="宋体" w:eastAsia="宋体"/>
          <w:snapToGrid w:val="0"/>
          <w:highlight w:val="none"/>
        </w:rPr>
      </w:pPr>
      <w:bookmarkStart w:id="1" w:name="_Toc6685"/>
      <w:r>
        <w:rPr>
          <w:rFonts w:hint="eastAsia" w:ascii="宋体" w:hAnsi="宋体" w:eastAsia="宋体"/>
          <w:snapToGrid w:val="0"/>
          <w:highlight w:val="none"/>
        </w:rPr>
        <w:t>第一章</w:t>
      </w:r>
      <w:r>
        <w:rPr>
          <w:rFonts w:ascii="宋体" w:hAnsi="宋体" w:eastAsia="宋体"/>
          <w:snapToGrid w:val="0"/>
          <w:highlight w:val="none"/>
        </w:rPr>
        <w:t xml:space="preserve"> </w:t>
      </w:r>
      <w:r>
        <w:rPr>
          <w:rFonts w:hint="eastAsia" w:ascii="宋体" w:hAnsi="宋体" w:eastAsia="宋体"/>
          <w:snapToGrid w:val="0"/>
          <w:highlight w:val="none"/>
        </w:rPr>
        <w:t>投标须知</w:t>
      </w:r>
      <w:bookmarkEnd w:id="0"/>
      <w:bookmarkEnd w:id="1"/>
    </w:p>
    <w:p>
      <w:pPr>
        <w:pStyle w:val="4"/>
        <w:snapToGrid w:val="0"/>
        <w:spacing w:before="0" w:after="0" w:line="240" w:lineRule="auto"/>
        <w:jc w:val="left"/>
        <w:rPr>
          <w:rFonts w:ascii="宋体" w:hAnsi="宋体" w:eastAsia="宋体"/>
          <w:sz w:val="28"/>
          <w:szCs w:val="28"/>
          <w:highlight w:val="none"/>
        </w:rPr>
      </w:pPr>
      <w:bookmarkStart w:id="2" w:name="_Toc329097719"/>
      <w:bookmarkStart w:id="3" w:name="_Toc27983"/>
      <w:r>
        <w:rPr>
          <w:rFonts w:hint="eastAsia" w:ascii="宋体" w:hAnsi="宋体" w:eastAsia="宋体"/>
          <w:sz w:val="28"/>
          <w:szCs w:val="28"/>
          <w:highlight w:val="none"/>
        </w:rPr>
        <w:t>前</w:t>
      </w:r>
      <w:r>
        <w:rPr>
          <w:rFonts w:ascii="宋体" w:hAnsi="宋体" w:eastAsia="宋体"/>
          <w:sz w:val="28"/>
          <w:szCs w:val="28"/>
          <w:highlight w:val="none"/>
        </w:rPr>
        <w:t xml:space="preserve"> </w:t>
      </w:r>
      <w:r>
        <w:rPr>
          <w:rFonts w:hint="eastAsia" w:ascii="宋体" w:hAnsi="宋体" w:eastAsia="宋体"/>
          <w:sz w:val="28"/>
          <w:szCs w:val="28"/>
          <w:highlight w:val="none"/>
        </w:rPr>
        <w:t>附</w:t>
      </w:r>
      <w:r>
        <w:rPr>
          <w:rFonts w:ascii="宋体" w:hAnsi="宋体" w:eastAsia="宋体"/>
          <w:sz w:val="28"/>
          <w:szCs w:val="28"/>
          <w:highlight w:val="none"/>
        </w:rPr>
        <w:t xml:space="preserve"> </w:t>
      </w:r>
      <w:r>
        <w:rPr>
          <w:rFonts w:hint="eastAsia" w:ascii="宋体" w:hAnsi="宋体" w:eastAsia="宋体"/>
          <w:sz w:val="28"/>
          <w:szCs w:val="28"/>
          <w:highlight w:val="none"/>
        </w:rPr>
        <w:t>表</w:t>
      </w:r>
      <w:bookmarkEnd w:id="2"/>
      <w:bookmarkEnd w:id="3"/>
    </w:p>
    <w:tbl>
      <w:tblPr>
        <w:tblStyle w:val="40"/>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b/>
                <w:sz w:val="21"/>
                <w:szCs w:val="21"/>
                <w:highlight w:val="none"/>
              </w:rPr>
            </w:pPr>
            <w:r>
              <w:rPr>
                <w:rFonts w:hint="eastAsia" w:ascii="宋体" w:hAnsi="宋体" w:eastAsia="宋体"/>
                <w:b/>
                <w:sz w:val="21"/>
                <w:szCs w:val="21"/>
                <w:highlight w:val="none"/>
              </w:rPr>
              <w:t>项号</w:t>
            </w:r>
          </w:p>
        </w:tc>
        <w:tc>
          <w:tcPr>
            <w:tcW w:w="1560" w:type="dxa"/>
            <w:vAlign w:val="center"/>
          </w:tcPr>
          <w:p>
            <w:pPr>
              <w:adjustRightInd w:val="0"/>
              <w:snapToGrid w:val="0"/>
              <w:jc w:val="center"/>
              <w:rPr>
                <w:rFonts w:ascii="宋体" w:hAnsi="宋体" w:eastAsia="宋体"/>
                <w:b/>
                <w:sz w:val="21"/>
                <w:szCs w:val="21"/>
                <w:highlight w:val="none"/>
              </w:rPr>
            </w:pPr>
            <w:r>
              <w:rPr>
                <w:rFonts w:hint="eastAsia" w:ascii="宋体" w:hAnsi="宋体" w:eastAsia="宋体"/>
                <w:b/>
                <w:sz w:val="21"/>
                <w:szCs w:val="21"/>
                <w:highlight w:val="none"/>
              </w:rPr>
              <w:t>内容</w:t>
            </w:r>
          </w:p>
        </w:tc>
        <w:tc>
          <w:tcPr>
            <w:tcW w:w="7087" w:type="dxa"/>
            <w:vAlign w:val="center"/>
          </w:tcPr>
          <w:p>
            <w:pPr>
              <w:adjustRightInd w:val="0"/>
              <w:snapToGrid w:val="0"/>
              <w:jc w:val="center"/>
              <w:rPr>
                <w:rFonts w:ascii="宋体" w:hAnsi="宋体" w:eastAsia="宋体"/>
                <w:b/>
                <w:sz w:val="21"/>
                <w:szCs w:val="21"/>
                <w:highlight w:val="none"/>
              </w:rPr>
            </w:pPr>
            <w:r>
              <w:rPr>
                <w:rFonts w:hint="eastAsia" w:ascii="宋体" w:hAnsi="宋体" w:eastAsia="宋体"/>
                <w:b/>
                <w:sz w:val="21"/>
                <w:szCs w:val="21"/>
                <w:highlight w:val="none"/>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sz w:val="21"/>
                <w:szCs w:val="21"/>
                <w:highlight w:val="none"/>
              </w:rPr>
            </w:pPr>
            <w:r>
              <w:rPr>
                <w:rFonts w:ascii="宋体" w:hAnsi="宋体" w:eastAsia="宋体"/>
                <w:sz w:val="21"/>
                <w:szCs w:val="21"/>
                <w:highlight w:val="none"/>
              </w:rPr>
              <w:t>1</w:t>
            </w:r>
          </w:p>
        </w:tc>
        <w:tc>
          <w:tcPr>
            <w:tcW w:w="1560" w:type="dxa"/>
            <w:vAlign w:val="center"/>
          </w:tcPr>
          <w:p>
            <w:pPr>
              <w:adjustRightInd w:val="0"/>
              <w:snapToGrid w:val="0"/>
              <w:jc w:val="center"/>
              <w:rPr>
                <w:rFonts w:ascii="宋体" w:hAnsi="宋体" w:eastAsia="宋体"/>
                <w:sz w:val="21"/>
                <w:szCs w:val="21"/>
                <w:highlight w:val="none"/>
              </w:rPr>
            </w:pPr>
            <w:r>
              <w:rPr>
                <w:rFonts w:hint="eastAsia" w:ascii="宋体" w:hAnsi="宋体" w:eastAsia="宋体"/>
                <w:sz w:val="21"/>
                <w:szCs w:val="21"/>
                <w:highlight w:val="none"/>
              </w:rPr>
              <w:t>项目名称</w:t>
            </w:r>
          </w:p>
        </w:tc>
        <w:tc>
          <w:tcPr>
            <w:tcW w:w="7087" w:type="dxa"/>
            <w:vAlign w:val="center"/>
          </w:tcPr>
          <w:p>
            <w:pPr>
              <w:adjustRightInd w:val="0"/>
              <w:snapToGrid w:val="0"/>
              <w:jc w:val="both"/>
              <w:rPr>
                <w:rFonts w:ascii="宋体" w:hAnsi="宋体" w:eastAsia="宋体" w:cs="宋体"/>
                <w:sz w:val="21"/>
                <w:szCs w:val="21"/>
                <w:highlight w:val="none"/>
              </w:rPr>
            </w:pPr>
            <w:r>
              <w:rPr>
                <w:rFonts w:hint="eastAsia" w:ascii="宋体" w:hAnsi="宋体" w:eastAsia="宋体" w:cs="Arial"/>
                <w:sz w:val="21"/>
                <w:szCs w:val="21"/>
                <w:highlight w:val="none"/>
              </w:rPr>
              <w:t>南京大学仙林校区化学楼酸雾净化塔补水改造工程（新增水箱基础）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75" w:type="dxa"/>
            <w:vAlign w:val="center"/>
          </w:tcPr>
          <w:p>
            <w:pPr>
              <w:adjustRightInd w:val="0"/>
              <w:snapToGrid w:val="0"/>
              <w:jc w:val="center"/>
              <w:rPr>
                <w:rFonts w:ascii="宋体" w:hAnsi="宋体" w:eastAsia="宋体"/>
                <w:sz w:val="21"/>
                <w:szCs w:val="21"/>
                <w:highlight w:val="none"/>
              </w:rPr>
            </w:pPr>
            <w:r>
              <w:rPr>
                <w:rFonts w:ascii="宋体" w:hAnsi="宋体" w:eastAsia="宋体"/>
                <w:sz w:val="21"/>
                <w:szCs w:val="21"/>
                <w:highlight w:val="none"/>
              </w:rPr>
              <w:t>2</w:t>
            </w:r>
          </w:p>
        </w:tc>
        <w:tc>
          <w:tcPr>
            <w:tcW w:w="1560" w:type="dxa"/>
            <w:vAlign w:val="center"/>
          </w:tcPr>
          <w:p>
            <w:pPr>
              <w:adjustRightInd w:val="0"/>
              <w:snapToGrid w:val="0"/>
              <w:jc w:val="center"/>
              <w:rPr>
                <w:rFonts w:ascii="宋体" w:hAnsi="宋体" w:eastAsia="宋体"/>
                <w:sz w:val="21"/>
                <w:szCs w:val="21"/>
                <w:highlight w:val="none"/>
              </w:rPr>
            </w:pPr>
            <w:r>
              <w:rPr>
                <w:rFonts w:hint="eastAsia" w:ascii="宋体" w:hAnsi="宋体" w:eastAsia="宋体"/>
                <w:sz w:val="21"/>
                <w:szCs w:val="21"/>
                <w:highlight w:val="none"/>
              </w:rPr>
              <w:t>建设地点</w:t>
            </w:r>
          </w:p>
        </w:tc>
        <w:tc>
          <w:tcPr>
            <w:tcW w:w="7087" w:type="dxa"/>
            <w:vAlign w:val="center"/>
          </w:tcPr>
          <w:p>
            <w:pPr>
              <w:adjustRightInd w:val="0"/>
              <w:snapToGrid w:val="0"/>
              <w:jc w:val="both"/>
              <w:rPr>
                <w:rFonts w:ascii="宋体" w:hAnsi="宋体" w:eastAsia="宋体" w:cs="宋体"/>
                <w:sz w:val="21"/>
                <w:szCs w:val="21"/>
                <w:highlight w:val="none"/>
              </w:rPr>
            </w:pPr>
            <w:r>
              <w:rPr>
                <w:rFonts w:hint="eastAsia" w:ascii="宋体" w:hAnsi="宋体" w:eastAsia="宋体" w:cs="Arial"/>
                <w:sz w:val="21"/>
                <w:szCs w:val="21"/>
                <w:highlight w:val="none"/>
              </w:rPr>
              <w:t>南京大学仙林校区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3</w:t>
            </w:r>
          </w:p>
        </w:tc>
        <w:tc>
          <w:tcPr>
            <w:tcW w:w="1560" w:type="dxa"/>
            <w:vAlign w:val="center"/>
          </w:tcPr>
          <w:p>
            <w:pPr>
              <w:adjustRightInd w:val="0"/>
              <w:snapToGrid w:val="0"/>
              <w:spacing w:before="120" w:beforeLines="50" w:after="120" w:afterLines="50"/>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招标内容</w:t>
            </w:r>
          </w:p>
        </w:tc>
        <w:tc>
          <w:tcPr>
            <w:tcW w:w="7087" w:type="dxa"/>
            <w:vAlign w:val="center"/>
          </w:tcPr>
          <w:p>
            <w:pPr>
              <w:adjustRightInd w:val="0"/>
              <w:snapToGrid w:val="0"/>
              <w:spacing w:before="120" w:beforeLines="50" w:after="120" w:afterLines="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工程位于南京大学仙林校区，拟对化学楼酸雾净化塔补水系统进行改造，新增钢结构水箱基础，改造工程在现有框架柱上施工。工程内容包括混凝土及钢筋混凝土工程、金属结构工程、钢筋工程、拆除、改造工程等。招标范围是图纸及工程量清单全部内容（钢结构工程、防水工程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4</w:t>
            </w:r>
          </w:p>
        </w:tc>
        <w:tc>
          <w:tcPr>
            <w:tcW w:w="1560" w:type="dxa"/>
            <w:vAlign w:val="center"/>
          </w:tcPr>
          <w:p>
            <w:pPr>
              <w:adjustRightInd w:val="0"/>
              <w:snapToGrid w:val="0"/>
              <w:spacing w:before="120" w:beforeLines="50" w:after="120" w:afterLines="50"/>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承包方式</w:t>
            </w:r>
          </w:p>
        </w:tc>
        <w:tc>
          <w:tcPr>
            <w:tcW w:w="7087" w:type="dxa"/>
            <w:vAlign w:val="center"/>
          </w:tcPr>
          <w:p>
            <w:pPr>
              <w:adjustRightInd w:val="0"/>
              <w:snapToGrid w:val="0"/>
              <w:spacing w:before="120" w:beforeLines="50" w:after="120" w:afterLines="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包工包料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5</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计划工期</w:t>
            </w:r>
          </w:p>
        </w:tc>
        <w:tc>
          <w:tcPr>
            <w:tcW w:w="7087" w:type="dxa"/>
            <w:vAlign w:val="center"/>
          </w:tcPr>
          <w:p>
            <w:pPr>
              <w:adjustRightInd w:val="0"/>
              <w:snapToGrid w:val="0"/>
              <w:spacing w:before="120" w:beforeLines="50" w:after="120" w:afterLines="5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6</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现场踏勘</w:t>
            </w:r>
          </w:p>
        </w:tc>
        <w:tc>
          <w:tcPr>
            <w:tcW w:w="7087" w:type="dxa"/>
            <w:vAlign w:val="center"/>
          </w:tcPr>
          <w:p>
            <w:pPr>
              <w:adjustRightInd w:val="0"/>
              <w:snapToGrid w:val="0"/>
              <w:spacing w:after="120" w:afterLines="50"/>
              <w:jc w:val="both"/>
              <w:rPr>
                <w:rFonts w:ascii="宋体" w:hAnsi="宋体" w:eastAsia="宋体"/>
                <w:sz w:val="21"/>
                <w:szCs w:val="21"/>
                <w:highlight w:val="none"/>
              </w:rPr>
            </w:pPr>
            <w:r>
              <w:rPr>
                <w:rFonts w:hint="eastAsia" w:ascii="宋体" w:hAnsi="宋体" w:eastAsia="宋体"/>
                <w:sz w:val="21"/>
                <w:szCs w:val="21"/>
                <w:highlight w:val="none"/>
              </w:rPr>
              <w:t>招标人不集中组织勘踏现场。投标人可自行勘踏，一切费用及后果由投标人自行承担。</w:t>
            </w:r>
          </w:p>
          <w:p>
            <w:pPr>
              <w:adjustRightInd w:val="0"/>
              <w:snapToGrid w:val="0"/>
              <w:spacing w:after="120" w:afterLines="50"/>
              <w:jc w:val="both"/>
              <w:rPr>
                <w:rFonts w:ascii="宋体" w:hAnsi="宋体" w:eastAsia="宋体"/>
                <w:sz w:val="21"/>
                <w:szCs w:val="21"/>
                <w:highlight w:val="none"/>
              </w:rPr>
            </w:pPr>
            <w:r>
              <w:rPr>
                <w:rFonts w:hint="eastAsia" w:ascii="宋体" w:hAnsi="宋体" w:eastAsia="宋体"/>
                <w:sz w:val="21"/>
                <w:szCs w:val="21"/>
                <w:highlight w:val="none"/>
              </w:rPr>
              <w:t>联系人：于华川</w:t>
            </w:r>
            <w:r>
              <w:rPr>
                <w:rFonts w:ascii="宋体" w:hAnsi="宋体" w:eastAsia="宋体"/>
                <w:sz w:val="21"/>
                <w:szCs w:val="21"/>
                <w:highlight w:val="none"/>
              </w:rPr>
              <w:t xml:space="preserve"> </w:t>
            </w:r>
            <w:r>
              <w:rPr>
                <w:rFonts w:hint="eastAsia" w:ascii="宋体" w:hAnsi="宋体" w:eastAsia="宋体"/>
                <w:sz w:val="21"/>
                <w:szCs w:val="21"/>
                <w:highlight w:val="none"/>
              </w:rPr>
              <w:t>13809029218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7</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投标文件份数</w:t>
            </w:r>
          </w:p>
        </w:tc>
        <w:tc>
          <w:tcPr>
            <w:tcW w:w="7087" w:type="dxa"/>
            <w:vAlign w:val="center"/>
          </w:tcPr>
          <w:p>
            <w:pPr>
              <w:adjustRightInd w:val="0"/>
              <w:snapToGrid w:val="0"/>
              <w:spacing w:before="120" w:beforeLines="50" w:after="120" w:afterLines="50"/>
              <w:ind w:left="-100" w:leftChars="-50" w:right="-100" w:rightChars="-50"/>
              <w:rPr>
                <w:rFonts w:ascii="宋体" w:hAnsi="宋体" w:eastAsia="宋体"/>
                <w:sz w:val="21"/>
                <w:szCs w:val="21"/>
                <w:highlight w:val="none"/>
              </w:rPr>
            </w:pPr>
            <w:r>
              <w:rPr>
                <w:rFonts w:hint="eastAsia" w:ascii="宋体" w:hAnsi="宋体" w:eastAsia="宋体"/>
                <w:sz w:val="21"/>
                <w:szCs w:val="21"/>
                <w:highlight w:val="none"/>
              </w:rPr>
              <w:t>正本</w:t>
            </w:r>
            <w:r>
              <w:rPr>
                <w:rFonts w:ascii="宋体" w:hAnsi="宋体" w:eastAsia="宋体"/>
                <w:sz w:val="21"/>
                <w:szCs w:val="21"/>
                <w:highlight w:val="none"/>
              </w:rPr>
              <w:t>1</w:t>
            </w:r>
            <w:r>
              <w:rPr>
                <w:rFonts w:hint="eastAsia" w:ascii="宋体" w:hAnsi="宋体" w:eastAsia="宋体"/>
                <w:sz w:val="21"/>
                <w:szCs w:val="21"/>
                <w:highlight w:val="none"/>
              </w:rPr>
              <w:t>份，副本2份（电子版1份）。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8</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报名方式及截止时间</w:t>
            </w:r>
          </w:p>
        </w:tc>
        <w:tc>
          <w:tcPr>
            <w:tcW w:w="7087" w:type="dxa"/>
            <w:vAlign w:val="center"/>
          </w:tcPr>
          <w:p>
            <w:pPr>
              <w:adjustRightInd w:val="0"/>
              <w:snapToGrid w:val="0"/>
              <w:spacing w:before="120" w:beforeLines="50" w:after="120" w:afterLines="50"/>
              <w:rPr>
                <w:rFonts w:ascii="宋体" w:hAnsi="宋体" w:eastAsia="宋体"/>
                <w:sz w:val="21"/>
                <w:szCs w:val="21"/>
                <w:highlight w:val="none"/>
              </w:rPr>
            </w:pPr>
            <w:r>
              <w:rPr>
                <w:rFonts w:ascii="宋体" w:hAnsi="宋体" w:eastAsia="宋体"/>
                <w:sz w:val="21"/>
                <w:szCs w:val="21"/>
                <w:highlight w:val="none"/>
              </w:rPr>
              <w:t>报名方式：投标人将报名信息以邮件形式发送至：13705165269@163.com；报名邮件主题统一为：</w:t>
            </w:r>
            <w:r>
              <w:rPr>
                <w:rFonts w:hint="eastAsia" w:ascii="宋体" w:hAnsi="宋体" w:eastAsia="宋体"/>
                <w:sz w:val="21"/>
                <w:szCs w:val="21"/>
                <w:highlight w:val="none"/>
              </w:rPr>
              <w:t>南基（工）</w:t>
            </w:r>
            <w:r>
              <w:rPr>
                <w:rFonts w:ascii="宋体" w:hAnsi="宋体" w:eastAsia="宋体"/>
                <w:sz w:val="21"/>
                <w:szCs w:val="21"/>
                <w:highlight w:val="none"/>
              </w:rPr>
              <w:t>2019-</w:t>
            </w:r>
            <w:r>
              <w:rPr>
                <w:rFonts w:hint="eastAsia" w:ascii="宋体" w:hAnsi="宋体" w:eastAsia="宋体"/>
                <w:sz w:val="21"/>
                <w:szCs w:val="21"/>
                <w:highlight w:val="none"/>
              </w:rPr>
              <w:t>111南京大学仙林校区化学楼酸雾净化塔补水改造工程（新增水箱基础）</w:t>
            </w:r>
            <w:r>
              <w:rPr>
                <w:rFonts w:ascii="宋体" w:hAnsi="宋体" w:eastAsia="宋体"/>
                <w:sz w:val="21"/>
                <w:szCs w:val="21"/>
                <w:highlight w:val="none"/>
              </w:rPr>
              <w:t>；报名信息格式不限，但必须包含招标采购项目名称、项目编号及投标单位名称、联系人、联系方式等内容。</w:t>
            </w:r>
          </w:p>
          <w:p>
            <w:pPr>
              <w:adjustRightInd w:val="0"/>
              <w:snapToGrid w:val="0"/>
              <w:spacing w:before="120" w:beforeLines="50" w:after="120" w:afterLines="50"/>
              <w:rPr>
                <w:rFonts w:ascii="宋体" w:hAnsi="宋体" w:eastAsia="宋体"/>
                <w:sz w:val="21"/>
                <w:szCs w:val="21"/>
                <w:highlight w:val="none"/>
              </w:rPr>
            </w:pPr>
            <w:r>
              <w:rPr>
                <w:rFonts w:ascii="宋体" w:hAnsi="宋体" w:eastAsia="宋体"/>
                <w:sz w:val="21"/>
                <w:szCs w:val="21"/>
                <w:highlight w:val="none"/>
              </w:rPr>
              <w:t>报名截止时间：2019年</w:t>
            </w:r>
            <w:r>
              <w:rPr>
                <w:rFonts w:hint="eastAsia" w:ascii="宋体" w:hAnsi="宋体" w:eastAsia="宋体"/>
                <w:sz w:val="21"/>
                <w:szCs w:val="21"/>
                <w:highlight w:val="none"/>
                <w:lang w:val="en-US" w:eastAsia="zh-CN"/>
              </w:rPr>
              <w:t>8</w:t>
            </w:r>
            <w:r>
              <w:rPr>
                <w:rFonts w:ascii="宋体" w:hAnsi="宋体" w:eastAsia="宋体"/>
                <w:sz w:val="21"/>
                <w:szCs w:val="21"/>
                <w:highlight w:val="none"/>
              </w:rPr>
              <w:t>月</w:t>
            </w:r>
            <w:r>
              <w:rPr>
                <w:rFonts w:hint="eastAsia" w:ascii="宋体" w:hAnsi="宋体" w:eastAsia="宋体"/>
                <w:sz w:val="21"/>
                <w:szCs w:val="21"/>
                <w:highlight w:val="none"/>
              </w:rPr>
              <w:t>2</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w:t>
            </w:r>
            <w:r>
              <w:rPr>
                <w:rFonts w:ascii="宋体" w:hAnsi="宋体" w:eastAsia="宋体"/>
                <w:sz w:val="21"/>
                <w:szCs w:val="21"/>
                <w:highlight w:val="none"/>
              </w:rPr>
              <w:t>日</w:t>
            </w:r>
            <w:r>
              <w:rPr>
                <w:rFonts w:hint="eastAsia" w:ascii="宋体" w:hAnsi="宋体" w:eastAsia="宋体"/>
                <w:sz w:val="21"/>
                <w:szCs w:val="21"/>
                <w:highlight w:val="none"/>
                <w:lang w:val="en-US" w:eastAsia="zh-CN"/>
              </w:rPr>
              <w:t>8</w:t>
            </w:r>
            <w:r>
              <w:rPr>
                <w:rFonts w:ascii="宋体" w:hAnsi="宋体" w:eastAsia="宋体"/>
                <w:sz w:val="21"/>
                <w:szCs w:val="21"/>
                <w:highlight w:val="none"/>
              </w:rPr>
              <w:t>时00分</w:t>
            </w:r>
          </w:p>
          <w:p>
            <w:pPr>
              <w:adjustRightInd w:val="0"/>
              <w:snapToGrid w:val="0"/>
              <w:spacing w:before="120" w:beforeLines="50" w:after="120" w:afterLines="50"/>
              <w:rPr>
                <w:rFonts w:ascii="宋体" w:hAnsi="宋体" w:eastAsia="宋体"/>
                <w:sz w:val="21"/>
                <w:szCs w:val="21"/>
                <w:highlight w:val="none"/>
              </w:rPr>
            </w:pPr>
            <w:r>
              <w:rPr>
                <w:rFonts w:ascii="宋体" w:hAnsi="宋体" w:eastAsia="宋体"/>
                <w:sz w:val="21"/>
                <w:szCs w:val="21"/>
                <w:highlight w:val="none"/>
              </w:rPr>
              <w:t>未登记报名的，招标人有权拒绝投标人参加投标。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9</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投标文件递交及开标</w:t>
            </w:r>
          </w:p>
        </w:tc>
        <w:tc>
          <w:tcPr>
            <w:tcW w:w="7087" w:type="dxa"/>
            <w:vAlign w:val="center"/>
          </w:tcPr>
          <w:p>
            <w:pPr>
              <w:adjustRightInd w:val="0"/>
              <w:snapToGrid w:val="0"/>
              <w:spacing w:before="120" w:beforeLines="50" w:after="120" w:afterLines="50"/>
              <w:rPr>
                <w:rFonts w:ascii="宋体" w:hAnsi="宋体" w:eastAsia="宋体" w:cs="Arial"/>
                <w:sz w:val="21"/>
                <w:szCs w:val="21"/>
                <w:highlight w:val="none"/>
              </w:rPr>
            </w:pPr>
            <w:r>
              <w:rPr>
                <w:rFonts w:ascii="宋体" w:hAnsi="宋体" w:eastAsia="宋体" w:cs="Arial"/>
                <w:sz w:val="21"/>
                <w:szCs w:val="21"/>
                <w:highlight w:val="none"/>
              </w:rPr>
              <w:t>投标文件递交及开标时间：2019年</w:t>
            </w:r>
            <w:r>
              <w:rPr>
                <w:rFonts w:hint="eastAsia" w:ascii="宋体" w:hAnsi="宋体" w:eastAsia="宋体" w:cs="Arial"/>
                <w:sz w:val="21"/>
                <w:szCs w:val="21"/>
                <w:highlight w:val="none"/>
                <w:lang w:val="en-US" w:eastAsia="zh-CN"/>
              </w:rPr>
              <w:t>8</w:t>
            </w:r>
            <w:r>
              <w:rPr>
                <w:rFonts w:ascii="宋体" w:hAnsi="宋体" w:eastAsia="宋体" w:cs="Arial"/>
                <w:sz w:val="21"/>
                <w:szCs w:val="21"/>
                <w:highlight w:val="none"/>
              </w:rPr>
              <w:t>月</w:t>
            </w:r>
            <w:r>
              <w:rPr>
                <w:rFonts w:hint="eastAsia" w:ascii="宋体" w:hAnsi="宋体" w:eastAsia="宋体" w:cs="Arial"/>
                <w:sz w:val="21"/>
                <w:szCs w:val="21"/>
                <w:highlight w:val="none"/>
              </w:rPr>
              <w:t>2</w:t>
            </w:r>
            <w:r>
              <w:rPr>
                <w:rFonts w:ascii="宋体" w:hAnsi="宋体" w:eastAsia="宋体" w:cs="Arial"/>
                <w:sz w:val="21"/>
                <w:szCs w:val="21"/>
                <w:highlight w:val="none"/>
              </w:rPr>
              <w:t>日</w:t>
            </w:r>
            <w:r>
              <w:rPr>
                <w:rFonts w:hint="eastAsia" w:ascii="宋体" w:hAnsi="宋体" w:eastAsia="宋体" w:cs="Arial"/>
                <w:sz w:val="21"/>
                <w:szCs w:val="21"/>
                <w:highlight w:val="none"/>
                <w:lang w:val="en-US" w:eastAsia="zh-CN"/>
              </w:rPr>
              <w:t>10</w:t>
            </w:r>
            <w:r>
              <w:rPr>
                <w:rFonts w:ascii="宋体" w:hAnsi="宋体" w:eastAsia="宋体" w:cs="Arial"/>
                <w:sz w:val="21"/>
                <w:szCs w:val="21"/>
                <w:highlight w:val="none"/>
              </w:rPr>
              <w:t>时</w:t>
            </w:r>
            <w:r>
              <w:rPr>
                <w:rFonts w:hint="eastAsia" w:ascii="宋体" w:hAnsi="宋体" w:eastAsia="宋体" w:cs="Arial"/>
                <w:sz w:val="21"/>
                <w:szCs w:val="21"/>
                <w:highlight w:val="none"/>
                <w:lang w:val="en-US" w:eastAsia="zh-CN"/>
              </w:rPr>
              <w:t>4</w:t>
            </w:r>
            <w:r>
              <w:rPr>
                <w:rFonts w:ascii="宋体" w:hAnsi="宋体" w:eastAsia="宋体" w:cs="Arial"/>
                <w:sz w:val="21"/>
                <w:szCs w:val="21"/>
                <w:highlight w:val="none"/>
              </w:rPr>
              <w:t>0分</w:t>
            </w:r>
          </w:p>
          <w:p>
            <w:pPr>
              <w:adjustRightInd w:val="0"/>
              <w:snapToGrid w:val="0"/>
              <w:spacing w:before="120" w:beforeLines="50" w:after="120" w:afterLines="50"/>
              <w:rPr>
                <w:rFonts w:ascii="宋体" w:hAnsi="宋体" w:eastAsia="宋体" w:cs="Arial"/>
                <w:sz w:val="21"/>
                <w:szCs w:val="21"/>
                <w:highlight w:val="none"/>
              </w:rPr>
            </w:pPr>
            <w:r>
              <w:rPr>
                <w:rFonts w:ascii="宋体" w:hAnsi="宋体" w:eastAsia="宋体" w:cs="Arial"/>
                <w:sz w:val="21"/>
                <w:szCs w:val="21"/>
                <w:highlight w:val="none"/>
              </w:rPr>
              <w:t>投标文件递交及开标地点：南京大学仙林校区综合楼409（南）会议室（五食堂楼上）。</w:t>
            </w:r>
          </w:p>
          <w:p>
            <w:pPr>
              <w:adjustRightInd w:val="0"/>
              <w:snapToGrid w:val="0"/>
              <w:spacing w:before="120" w:beforeLines="50" w:after="120" w:afterLines="50"/>
              <w:rPr>
                <w:rFonts w:ascii="宋体" w:hAnsi="宋体" w:eastAsia="宋体" w:cs="Arial"/>
                <w:sz w:val="21"/>
                <w:szCs w:val="21"/>
                <w:highlight w:val="none"/>
              </w:rPr>
            </w:pPr>
            <w:r>
              <w:rPr>
                <w:rFonts w:ascii="宋体" w:hAnsi="宋体" w:eastAsia="宋体" w:cs="Arial"/>
                <w:sz w:val="21"/>
                <w:szCs w:val="21"/>
                <w:highlight w:val="none"/>
              </w:rPr>
              <w:t>投标文件送达方式：直接送达纸质件材料，不接受邮寄等其他送达方式。</w:t>
            </w:r>
          </w:p>
          <w:p>
            <w:pPr>
              <w:adjustRightInd w:val="0"/>
              <w:snapToGrid w:val="0"/>
              <w:spacing w:before="120" w:beforeLines="50" w:after="120" w:afterLines="50"/>
              <w:rPr>
                <w:rFonts w:ascii="宋体" w:hAnsi="宋体" w:eastAsia="宋体"/>
                <w:sz w:val="21"/>
                <w:szCs w:val="21"/>
                <w:highlight w:val="none"/>
              </w:rPr>
            </w:pPr>
            <w:r>
              <w:rPr>
                <w:rFonts w:ascii="宋体" w:hAnsi="宋体" w:eastAsia="宋体" w:cs="Arial"/>
                <w:sz w:val="21"/>
                <w:szCs w:val="21"/>
                <w:highlight w:val="none"/>
              </w:rPr>
              <w:t>投标文件必须按招标文件规定的时间及地点送达，逾期或不符合密封要求的投标文件恕不接受。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0</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评标办法</w:t>
            </w:r>
          </w:p>
        </w:tc>
        <w:tc>
          <w:tcPr>
            <w:tcW w:w="7087" w:type="dxa"/>
            <w:vAlign w:val="center"/>
          </w:tcPr>
          <w:p>
            <w:pPr>
              <w:adjustRightInd w:val="0"/>
              <w:snapToGrid w:val="0"/>
              <w:spacing w:before="120" w:beforeLines="50" w:after="120" w:afterLines="50"/>
              <w:rPr>
                <w:rFonts w:ascii="宋体" w:hAnsi="宋体" w:eastAsia="宋体"/>
                <w:sz w:val="21"/>
                <w:szCs w:val="21"/>
                <w:highlight w:val="none"/>
              </w:rPr>
            </w:pPr>
            <w:r>
              <w:rPr>
                <w:rFonts w:hint="eastAsia" w:ascii="宋体" w:hAnsi="宋体" w:eastAsia="宋体"/>
                <w:sz w:val="21"/>
                <w:szCs w:val="21"/>
                <w:highlight w:val="none"/>
              </w:rPr>
              <w:t>综合评</w:t>
            </w:r>
            <w:r>
              <w:rPr>
                <w:rFonts w:hint="eastAsia" w:ascii="宋体" w:hAnsi="宋体" w:eastAsia="宋体"/>
                <w:sz w:val="21"/>
                <w:szCs w:val="21"/>
                <w:highlight w:val="none"/>
                <w:lang w:eastAsia="zh-CN"/>
              </w:rPr>
              <w:t>分</w:t>
            </w:r>
            <w:r>
              <w:rPr>
                <w:rFonts w:hint="eastAsia" w:ascii="宋体" w:hAnsi="宋体" w:eastAsia="宋体"/>
                <w:sz w:val="21"/>
                <w:szCs w:val="21"/>
                <w:highlight w:val="none"/>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1</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投标有效期</w:t>
            </w:r>
          </w:p>
        </w:tc>
        <w:tc>
          <w:tcPr>
            <w:tcW w:w="7087" w:type="dxa"/>
            <w:vAlign w:val="center"/>
          </w:tcPr>
          <w:p>
            <w:pPr>
              <w:adjustRightInd w:val="0"/>
              <w:snapToGrid w:val="0"/>
              <w:spacing w:before="120" w:beforeLines="50" w:after="120" w:afterLines="50"/>
              <w:rPr>
                <w:rFonts w:ascii="宋体" w:hAnsi="宋体" w:eastAsia="宋体"/>
                <w:sz w:val="21"/>
                <w:szCs w:val="21"/>
                <w:highlight w:val="none"/>
              </w:rPr>
            </w:pPr>
            <w:r>
              <w:rPr>
                <w:rFonts w:hint="eastAsia" w:ascii="宋体" w:hAnsi="宋体" w:eastAsia="宋体"/>
                <w:bCs/>
                <w:snapToGrid w:val="0"/>
                <w:sz w:val="21"/>
                <w:szCs w:val="21"/>
                <w:highlight w:val="none"/>
              </w:rPr>
              <w:t>投标截止日后</w:t>
            </w:r>
            <w:r>
              <w:rPr>
                <w:rFonts w:ascii="宋体" w:hAnsi="宋体" w:eastAsia="宋体"/>
                <w:bCs/>
                <w:snapToGrid w:val="0"/>
                <w:sz w:val="21"/>
                <w:szCs w:val="21"/>
                <w:highlight w:val="none"/>
                <w:u w:val="single"/>
              </w:rPr>
              <w:t>60</w:t>
            </w:r>
            <w:r>
              <w:rPr>
                <w:rFonts w:hint="eastAsia" w:ascii="宋体" w:hAnsi="宋体" w:eastAsia="宋体"/>
                <w:bCs/>
                <w:snapToGrid w:val="0"/>
                <w:sz w:val="21"/>
                <w:szCs w:val="21"/>
                <w:highlight w:val="none"/>
              </w:rPr>
              <w:t>日内有效。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2</w:t>
            </w:r>
          </w:p>
        </w:tc>
        <w:tc>
          <w:tcPr>
            <w:tcW w:w="1560"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hint="eastAsia" w:ascii="宋体" w:hAnsi="宋体" w:eastAsia="宋体"/>
                <w:sz w:val="21"/>
                <w:szCs w:val="21"/>
                <w:highlight w:val="none"/>
              </w:rPr>
              <w:t>投标费用</w:t>
            </w:r>
          </w:p>
        </w:tc>
        <w:tc>
          <w:tcPr>
            <w:tcW w:w="7087" w:type="dxa"/>
            <w:vAlign w:val="center"/>
          </w:tcPr>
          <w:p>
            <w:pPr>
              <w:adjustRightInd w:val="0"/>
              <w:snapToGrid w:val="0"/>
              <w:spacing w:before="120" w:beforeLines="50" w:after="120" w:afterLines="50"/>
              <w:rPr>
                <w:rFonts w:ascii="宋体" w:hAnsi="宋体" w:eastAsia="宋体"/>
                <w:sz w:val="21"/>
                <w:szCs w:val="21"/>
                <w:highlight w:val="none"/>
              </w:rPr>
            </w:pPr>
            <w:r>
              <w:rPr>
                <w:rFonts w:hint="eastAsia" w:ascii="宋体" w:hAnsi="宋体" w:eastAsia="宋体"/>
                <w:sz w:val="21"/>
                <w:szCs w:val="21"/>
                <w:highlight w:val="none"/>
              </w:rPr>
              <w:t>投标自行承担，招标人不补偿费用。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675" w:type="dxa"/>
            <w:vAlign w:val="center"/>
          </w:tcPr>
          <w:p>
            <w:pPr>
              <w:adjustRightInd w:val="0"/>
              <w:snapToGrid w:val="0"/>
              <w:spacing w:before="120" w:beforeLines="50" w:after="120" w:afterLines="50"/>
              <w:jc w:val="center"/>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3</w:t>
            </w:r>
          </w:p>
        </w:tc>
        <w:tc>
          <w:tcPr>
            <w:tcW w:w="1560" w:type="dxa"/>
            <w:vAlign w:val="center"/>
          </w:tcPr>
          <w:p>
            <w:pPr>
              <w:adjustRightInd w:val="0"/>
              <w:snapToGrid w:val="0"/>
              <w:spacing w:before="120" w:beforeLines="50" w:after="120" w:afterLines="50"/>
              <w:jc w:val="center"/>
              <w:rPr>
                <w:rFonts w:ascii="宋体" w:hAnsi="宋体" w:eastAsia="宋体" w:cs="宋体"/>
                <w:sz w:val="21"/>
                <w:szCs w:val="21"/>
                <w:highlight w:val="none"/>
              </w:rPr>
            </w:pPr>
            <w:r>
              <w:rPr>
                <w:rFonts w:hint="eastAsia" w:ascii="宋体" w:hAnsi="宋体" w:eastAsia="宋体" w:cs="宋体"/>
                <w:sz w:val="21"/>
                <w:szCs w:val="21"/>
                <w:highlight w:val="none"/>
              </w:rPr>
              <w:t>联系人及</w:t>
            </w:r>
          </w:p>
          <w:p>
            <w:pPr>
              <w:adjustRightInd w:val="0"/>
              <w:snapToGrid w:val="0"/>
              <w:spacing w:before="120" w:beforeLines="50" w:after="120" w:afterLines="50"/>
              <w:jc w:val="center"/>
              <w:rPr>
                <w:rFonts w:ascii="宋体" w:hAnsi="宋体" w:eastAsia="宋体" w:cs="宋体"/>
                <w:sz w:val="21"/>
                <w:szCs w:val="21"/>
                <w:highlight w:val="none"/>
              </w:rPr>
            </w:pPr>
            <w:r>
              <w:rPr>
                <w:rFonts w:hint="eastAsia" w:ascii="宋体" w:hAnsi="宋体" w:eastAsia="宋体" w:cs="宋体"/>
                <w:sz w:val="21"/>
                <w:szCs w:val="21"/>
                <w:highlight w:val="none"/>
              </w:rPr>
              <w:t>联系方式</w:t>
            </w:r>
          </w:p>
        </w:tc>
        <w:tc>
          <w:tcPr>
            <w:tcW w:w="7087" w:type="dxa"/>
            <w:vAlign w:val="center"/>
          </w:tcPr>
          <w:p>
            <w:pPr>
              <w:adjustRightInd w:val="0"/>
              <w:snapToGrid w:val="0"/>
              <w:spacing w:before="120" w:beforeLines="50" w:after="120" w:afterLines="50"/>
              <w:rPr>
                <w:rFonts w:ascii="宋体" w:hAnsi="宋体" w:eastAsia="宋体" w:cs="宋体"/>
                <w:sz w:val="21"/>
                <w:szCs w:val="21"/>
                <w:highlight w:val="none"/>
              </w:rPr>
            </w:pPr>
            <w:r>
              <w:rPr>
                <w:rFonts w:hint="eastAsia" w:ascii="宋体" w:hAnsi="宋体" w:eastAsia="宋体" w:cs="宋体"/>
                <w:sz w:val="21"/>
                <w:szCs w:val="21"/>
                <w:highlight w:val="none"/>
              </w:rPr>
              <w:t>招标人：陆老师</w:t>
            </w:r>
            <w:r>
              <w:rPr>
                <w:rFonts w:ascii="宋体" w:hAnsi="宋体" w:eastAsia="宋体" w:cs="宋体"/>
                <w:sz w:val="21"/>
                <w:szCs w:val="21"/>
                <w:highlight w:val="none"/>
              </w:rPr>
              <w:t xml:space="preserve"> 025-85789926</w:t>
            </w:r>
          </w:p>
          <w:p>
            <w:pPr>
              <w:adjustRightInd w:val="0"/>
              <w:snapToGrid w:val="0"/>
              <w:spacing w:before="120" w:beforeLines="50" w:after="120" w:afterLines="50"/>
              <w:rPr>
                <w:rFonts w:ascii="宋体" w:hAnsi="宋体" w:eastAsia="宋体" w:cs="宋体"/>
                <w:sz w:val="21"/>
                <w:szCs w:val="21"/>
                <w:highlight w:val="none"/>
              </w:rPr>
            </w:pPr>
            <w:r>
              <w:rPr>
                <w:rFonts w:hint="eastAsia" w:ascii="宋体" w:hAnsi="宋体" w:eastAsia="宋体" w:cs="宋体"/>
                <w:sz w:val="21"/>
                <w:szCs w:val="21"/>
                <w:highlight w:val="none"/>
              </w:rPr>
              <w:t>电子邮箱：</w:t>
            </w:r>
            <w:r>
              <w:rPr>
                <w:rFonts w:ascii="宋体" w:hAnsi="宋体" w:eastAsia="宋体" w:cs="宋体"/>
                <w:sz w:val="21"/>
                <w:szCs w:val="21"/>
                <w:highlight w:val="none"/>
              </w:rPr>
              <w:t>13705165269@163.com</w:t>
            </w:r>
          </w:p>
        </w:tc>
      </w:tr>
    </w:tbl>
    <w:p>
      <w:pPr>
        <w:pStyle w:val="4"/>
        <w:spacing w:before="360" w:after="120" w:line="360" w:lineRule="auto"/>
        <w:rPr>
          <w:rFonts w:ascii="宋体" w:hAnsi="宋体" w:eastAsia="宋体"/>
          <w:snapToGrid w:val="0"/>
          <w:sz w:val="28"/>
          <w:szCs w:val="28"/>
          <w:highlight w:val="none"/>
        </w:rPr>
      </w:pPr>
      <w:r>
        <w:rPr>
          <w:rFonts w:ascii="宋体" w:hAnsi="宋体" w:eastAsia="宋体"/>
          <w:snapToGrid w:val="0"/>
          <w:sz w:val="30"/>
          <w:highlight w:val="none"/>
        </w:rPr>
        <w:br w:type="page"/>
      </w:r>
      <w:bookmarkStart w:id="4" w:name="_Toc32710"/>
      <w:bookmarkStart w:id="5" w:name="_Toc329097721"/>
      <w:r>
        <w:rPr>
          <w:rFonts w:hint="eastAsia" w:ascii="宋体" w:hAnsi="宋体" w:eastAsia="宋体"/>
          <w:snapToGrid w:val="0"/>
          <w:sz w:val="28"/>
          <w:szCs w:val="28"/>
          <w:highlight w:val="none"/>
        </w:rPr>
        <w:t>一、总</w:t>
      </w:r>
      <w:r>
        <w:rPr>
          <w:rFonts w:ascii="宋体" w:hAnsi="宋体" w:eastAsia="宋体"/>
          <w:snapToGrid w:val="0"/>
          <w:sz w:val="28"/>
          <w:szCs w:val="28"/>
          <w:highlight w:val="none"/>
        </w:rPr>
        <w:t xml:space="preserve">    </w:t>
      </w:r>
      <w:r>
        <w:rPr>
          <w:rFonts w:hint="eastAsia" w:ascii="宋体" w:hAnsi="宋体" w:eastAsia="宋体"/>
          <w:snapToGrid w:val="0"/>
          <w:sz w:val="28"/>
          <w:szCs w:val="28"/>
          <w:highlight w:val="none"/>
        </w:rPr>
        <w:t>则</w:t>
      </w:r>
      <w:bookmarkEnd w:id="4"/>
      <w:bookmarkEnd w:id="5"/>
    </w:p>
    <w:p>
      <w:pPr>
        <w:adjustRightInd w:val="0"/>
        <w:snapToGrid w:val="0"/>
        <w:spacing w:line="500" w:lineRule="exact"/>
        <w:ind w:firstLine="482" w:firstLineChars="200"/>
        <w:rPr>
          <w:rFonts w:ascii="宋体" w:hAnsi="宋体" w:eastAsia="宋体"/>
          <w:b/>
          <w:sz w:val="24"/>
          <w:szCs w:val="24"/>
          <w:highlight w:val="none"/>
        </w:rPr>
      </w:pPr>
      <w:bookmarkStart w:id="6" w:name="_Toc329097722"/>
      <w:r>
        <w:rPr>
          <w:rFonts w:ascii="宋体" w:hAnsi="宋体" w:eastAsia="宋体"/>
          <w:b/>
          <w:sz w:val="24"/>
          <w:szCs w:val="24"/>
          <w:highlight w:val="none"/>
        </w:rPr>
        <w:t>(</w:t>
      </w:r>
      <w:r>
        <w:rPr>
          <w:rFonts w:hint="eastAsia" w:ascii="宋体" w:hAnsi="宋体" w:eastAsia="宋体"/>
          <w:b/>
          <w:sz w:val="24"/>
          <w:szCs w:val="24"/>
          <w:highlight w:val="none"/>
        </w:rPr>
        <w:t>一</w:t>
      </w:r>
      <w:r>
        <w:rPr>
          <w:rFonts w:ascii="宋体" w:hAnsi="宋体" w:eastAsia="宋体"/>
          <w:b/>
          <w:sz w:val="24"/>
          <w:szCs w:val="24"/>
          <w:highlight w:val="none"/>
        </w:rPr>
        <w:t>)</w:t>
      </w:r>
      <w:r>
        <w:rPr>
          <w:rFonts w:hint="eastAsia" w:ascii="宋体" w:hAnsi="宋体" w:eastAsia="宋体"/>
          <w:b/>
          <w:sz w:val="24"/>
          <w:szCs w:val="24"/>
          <w:highlight w:val="none"/>
        </w:rPr>
        <w:t>工程概况：</w:t>
      </w:r>
      <w:bookmarkEnd w:id="6"/>
    </w:p>
    <w:p>
      <w:pPr>
        <w:snapToGrid w:val="0"/>
        <w:spacing w:line="500" w:lineRule="exact"/>
        <w:ind w:firstLine="480" w:firstLineChars="200"/>
        <w:rPr>
          <w:rFonts w:hint="eastAsia" w:ascii="宋体" w:hAnsi="宋体" w:eastAsia="宋体" w:cs="宋体"/>
          <w:sz w:val="24"/>
          <w:szCs w:val="24"/>
          <w:highlight w:val="none"/>
        </w:rPr>
      </w:pPr>
      <w:bookmarkStart w:id="7" w:name="_Toc329097723"/>
      <w:r>
        <w:rPr>
          <w:rFonts w:hint="eastAsia" w:ascii="宋体" w:hAnsi="宋体" w:eastAsia="宋体" w:cs="宋体"/>
          <w:sz w:val="24"/>
          <w:szCs w:val="24"/>
          <w:highlight w:val="none"/>
        </w:rPr>
        <w:t>1、现场施工条件</w:t>
      </w:r>
    </w:p>
    <w:p>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(1)场地拆迁及平整情况：</w:t>
      </w:r>
      <w:r>
        <w:rPr>
          <w:rFonts w:hint="eastAsia" w:ascii="宋体" w:hAnsi="宋体" w:eastAsia="宋体" w:cs="宋体"/>
          <w:sz w:val="24"/>
          <w:szCs w:val="24"/>
          <w:highlight w:val="none"/>
          <w:u w:val="single"/>
        </w:rPr>
        <w:t>已完成</w:t>
      </w:r>
      <w:r>
        <w:rPr>
          <w:rFonts w:hint="eastAsia" w:ascii="宋体" w:hAnsi="宋体" w:eastAsia="宋体" w:cs="宋体"/>
          <w:sz w:val="24"/>
          <w:szCs w:val="24"/>
          <w:highlight w:val="none"/>
        </w:rPr>
        <w:t>；</w:t>
      </w:r>
    </w:p>
    <w:p>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(2)施工用水、电：</w:t>
      </w:r>
      <w:r>
        <w:rPr>
          <w:rFonts w:hint="eastAsia" w:ascii="宋体" w:hAnsi="宋体" w:eastAsia="宋体" w:cs="宋体"/>
          <w:sz w:val="24"/>
          <w:szCs w:val="24"/>
          <w:highlight w:val="none"/>
          <w:u w:val="single"/>
        </w:rPr>
        <w:t>区域内具备220V供电及自来水供水条件，由投标人根据施工需要自行接至所需地点</w:t>
      </w:r>
      <w:r>
        <w:rPr>
          <w:rFonts w:hint="eastAsia" w:ascii="宋体" w:hAnsi="宋体" w:eastAsia="宋体" w:cs="宋体"/>
          <w:sz w:val="24"/>
          <w:szCs w:val="24"/>
          <w:highlight w:val="none"/>
        </w:rPr>
        <w:t>；</w:t>
      </w:r>
    </w:p>
    <w:p>
      <w:pPr>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(3)有关资料：</w:t>
      </w:r>
      <w:r>
        <w:rPr>
          <w:rFonts w:hint="eastAsia" w:ascii="宋体" w:hAnsi="宋体" w:eastAsia="宋体" w:cs="宋体"/>
          <w:sz w:val="24"/>
          <w:szCs w:val="24"/>
          <w:highlight w:val="none"/>
          <w:u w:val="single"/>
        </w:rPr>
        <w:t>开工前7天提供</w:t>
      </w:r>
      <w:r>
        <w:rPr>
          <w:rFonts w:hint="eastAsia" w:ascii="宋体" w:hAnsi="宋体" w:eastAsia="宋体" w:cs="宋体"/>
          <w:sz w:val="24"/>
          <w:szCs w:val="24"/>
          <w:highlight w:val="none"/>
          <w:u w:val="none"/>
          <w:lang w:eastAsia="zh-CN"/>
        </w:rPr>
        <w:t>。</w:t>
      </w:r>
    </w:p>
    <w:p>
      <w:pPr>
        <w:snapToGrid w:val="0"/>
        <w:spacing w:line="500" w:lineRule="exact"/>
        <w:ind w:firstLine="480" w:firstLineChars="200"/>
        <w:rPr>
          <w:rFonts w:ascii="宋体" w:hAnsi="宋体" w:eastAsia="宋体" w:cs="宋体"/>
          <w:b/>
          <w:sz w:val="24"/>
          <w:highlight w:val="none"/>
        </w:rPr>
      </w:pPr>
      <w:r>
        <w:rPr>
          <w:rFonts w:hint="eastAsia" w:ascii="宋体" w:hAnsi="宋体" w:eastAsia="宋体" w:cs="宋体"/>
          <w:sz w:val="24"/>
          <w:szCs w:val="24"/>
          <w:highlight w:val="none"/>
        </w:rPr>
        <w:t>2、招标范围</w:t>
      </w:r>
      <w:r>
        <w:rPr>
          <w:rFonts w:hint="eastAsia" w:ascii="宋体" w:hAnsi="宋体" w:eastAsia="宋体" w:cs="宋体"/>
          <w:sz w:val="24"/>
          <w:szCs w:val="24"/>
          <w:highlight w:val="none"/>
          <w:lang w:eastAsia="zh-CN"/>
        </w:rPr>
        <w:t>及说明</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eastAsia="zh-CN"/>
        </w:rPr>
        <w:t>本工程位于南京大学仙林校区，拟对化学楼酸雾净化塔补水系统进行改造，新增钢结构水箱基础，改造工程在现有框架柱上施工。工程内容包括混凝土及钢筋混凝土工程、金属结构工程、钢筋工程、拆除、改造工程等。招标范围是图纸及工程量清单全部内容。本工程位于南京大学仙林校区，拟对化学楼酸雾净化塔补水系统进行改造，新增钢结构水箱基础，改造工程在现有框架柱上施工。工程内容为混凝土及钢筋混凝土工程、金属结构工程、钢筋工程、拆除、改造工程等。招标范围是图纸及工程量清单全部内容（钢结构工程、防水工程允许分包）</w:t>
      </w:r>
      <w:r>
        <w:rPr>
          <w:rFonts w:hint="eastAsia" w:ascii="宋体" w:hAnsi="宋体" w:eastAsia="宋体" w:cs="宋体"/>
          <w:b w:val="0"/>
          <w:bCs w:val="0"/>
          <w:sz w:val="24"/>
          <w:szCs w:val="24"/>
          <w:highlight w:val="none"/>
          <w:u w:val="none"/>
        </w:rPr>
        <w:t>；</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3、工期要求：</w:t>
      </w:r>
      <w:r>
        <w:rPr>
          <w:rFonts w:hint="eastAsia" w:ascii="宋体" w:hAnsi="宋体" w:eastAsia="宋体" w:cs="宋体"/>
          <w:b w:val="0"/>
          <w:bCs w:val="0"/>
          <w:sz w:val="24"/>
          <w:szCs w:val="24"/>
          <w:highlight w:val="none"/>
          <w:u w:val="single"/>
          <w:lang w:val="en-US" w:eastAsia="zh-CN"/>
        </w:rPr>
        <w:t>40日历天</w:t>
      </w:r>
      <w:r>
        <w:rPr>
          <w:rFonts w:hint="eastAsia" w:ascii="宋体" w:hAnsi="宋体" w:eastAsia="宋体" w:cs="宋体"/>
          <w:b w:val="0"/>
          <w:bCs w:val="0"/>
          <w:sz w:val="24"/>
          <w:szCs w:val="24"/>
          <w:highlight w:val="none"/>
          <w:u w:val="single"/>
        </w:rPr>
        <w:t>；</w:t>
      </w:r>
    </w:p>
    <w:p>
      <w:pPr>
        <w:snapToGrid w:val="0"/>
        <w:spacing w:line="500" w:lineRule="exact"/>
        <w:ind w:firstLine="480" w:firstLineChars="200"/>
        <w:rPr>
          <w:rFonts w:ascii="宋体" w:hAnsi="宋体" w:eastAsia="宋体" w:cs="宋体"/>
          <w:b w:val="0"/>
          <w:bCs w:val="0"/>
          <w:sz w:val="24"/>
          <w:szCs w:val="24"/>
          <w:highlight w:val="none"/>
        </w:rPr>
      </w:pPr>
      <w:r>
        <w:rPr>
          <w:rFonts w:hint="eastAsia" w:ascii="宋体" w:hAnsi="宋体" w:eastAsia="宋体" w:cs="宋体"/>
          <w:sz w:val="24"/>
          <w:szCs w:val="24"/>
          <w:highlight w:val="none"/>
        </w:rPr>
        <w:t>4、质量要求：</w:t>
      </w:r>
      <w:r>
        <w:rPr>
          <w:rFonts w:hint="eastAsia" w:ascii="宋体" w:hAnsi="宋体" w:eastAsia="宋体" w:cs="宋体"/>
          <w:b w:val="0"/>
          <w:bCs w:val="0"/>
          <w:sz w:val="24"/>
          <w:szCs w:val="24"/>
          <w:highlight w:val="none"/>
          <w:u w:val="single"/>
        </w:rPr>
        <w:t>合格，</w:t>
      </w:r>
      <w:r>
        <w:rPr>
          <w:rFonts w:hint="eastAsia" w:asciiTheme="minorEastAsia" w:hAnsiTheme="minorEastAsia" w:eastAsiaTheme="minorEastAsia" w:cstheme="minorEastAsia"/>
          <w:b w:val="0"/>
          <w:bCs w:val="0"/>
          <w:sz w:val="24"/>
          <w:szCs w:val="24"/>
          <w:highlight w:val="none"/>
          <w:u w:val="single"/>
        </w:rPr>
        <w:t>执行现行施工规范、质量标准、操作规程及验收标准</w:t>
      </w:r>
      <w:r>
        <w:rPr>
          <w:rFonts w:hint="eastAsia" w:ascii="宋体" w:hAnsi="宋体" w:eastAsia="宋体" w:cs="宋体"/>
          <w:b w:val="0"/>
          <w:bCs w:val="0"/>
          <w:sz w:val="24"/>
          <w:szCs w:val="24"/>
          <w:highlight w:val="none"/>
        </w:rPr>
        <w:t>；</w:t>
      </w:r>
    </w:p>
    <w:p>
      <w:pPr>
        <w:snapToGrid w:val="0"/>
        <w:spacing w:line="500" w:lineRule="exact"/>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5、最高限价：</w:t>
      </w:r>
      <w:r>
        <w:rPr>
          <w:rFonts w:hint="eastAsia" w:ascii="宋体" w:hAnsi="宋体" w:eastAsia="宋体" w:cs="宋体"/>
          <w:b w:val="0"/>
          <w:bCs w:val="0"/>
          <w:sz w:val="24"/>
          <w:szCs w:val="24"/>
          <w:highlight w:val="none"/>
          <w:u w:val="single"/>
          <w:lang w:val="en-US" w:eastAsia="zh-CN"/>
        </w:rPr>
        <w:t>26.26</w:t>
      </w:r>
      <w:r>
        <w:rPr>
          <w:rFonts w:hint="eastAsia" w:ascii="宋体" w:hAnsi="宋体" w:eastAsia="宋体" w:cs="宋体"/>
          <w:b w:val="0"/>
          <w:bCs w:val="0"/>
          <w:sz w:val="24"/>
          <w:szCs w:val="24"/>
          <w:highlight w:val="none"/>
          <w:u w:val="single"/>
        </w:rPr>
        <w:t>万</w:t>
      </w:r>
      <w:r>
        <w:rPr>
          <w:rFonts w:ascii="宋体" w:hAnsi="宋体" w:eastAsia="宋体" w:cs="宋体"/>
          <w:b w:val="0"/>
          <w:bCs w:val="0"/>
          <w:sz w:val="24"/>
          <w:szCs w:val="24"/>
          <w:highlight w:val="none"/>
          <w:u w:val="single"/>
        </w:rPr>
        <w:t>元</w:t>
      </w:r>
      <w:r>
        <w:rPr>
          <w:rFonts w:hint="eastAsia" w:ascii="宋体" w:hAnsi="宋体" w:eastAsia="宋体" w:cs="宋体"/>
          <w:b w:val="0"/>
          <w:bCs w:val="0"/>
          <w:sz w:val="24"/>
          <w:szCs w:val="24"/>
          <w:highlight w:val="none"/>
        </w:rPr>
        <w:t>。</w:t>
      </w:r>
    </w:p>
    <w:p>
      <w:pPr>
        <w:snapToGrid w:val="0"/>
        <w:spacing w:line="500" w:lineRule="exact"/>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（二）投标人资格要求</w:t>
      </w:r>
    </w:p>
    <w:p>
      <w:pPr>
        <w:snapToGrid w:val="0"/>
        <w:spacing w:line="500" w:lineRule="exact"/>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pPr>
        <w:snapToGrid w:val="0"/>
        <w:spacing w:line="500" w:lineRule="exact"/>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2、招标人根据招标项目的特殊要求规定的特定条件，并提供符合特殊要求的证明材料或者情况说明：</w:t>
      </w:r>
    </w:p>
    <w:p>
      <w:pPr>
        <w:snapToGrid w:val="0"/>
        <w:spacing w:line="500" w:lineRule="exact"/>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（1）具有独立法人资格，本项目在其营业执照经营范围内；（提供加盖投标人公章的营业执照复印件）</w:t>
      </w:r>
    </w:p>
    <w:p>
      <w:pPr>
        <w:snapToGrid w:val="0"/>
        <w:spacing w:line="500" w:lineRule="exact"/>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lang w:eastAsia="zh-CN"/>
        </w:rPr>
        <w:t>）企业资质等级及范围：</w:t>
      </w:r>
      <w:r>
        <w:rPr>
          <w:rFonts w:hint="eastAsia" w:ascii="宋体" w:hAnsi="宋体" w:eastAsia="宋体" w:cs="宋体"/>
          <w:sz w:val="24"/>
          <w:szCs w:val="24"/>
          <w:highlight w:val="none"/>
          <w:u w:val="single"/>
          <w:lang w:eastAsia="zh-CN"/>
        </w:rPr>
        <w:t>建筑工程施工总承包三级（含）以上资质，并取得安全生产许可证</w:t>
      </w:r>
      <w:r>
        <w:rPr>
          <w:rFonts w:hint="eastAsia" w:ascii="宋体" w:hAnsi="宋体" w:eastAsia="宋体" w:cs="宋体"/>
          <w:sz w:val="24"/>
          <w:szCs w:val="24"/>
          <w:highlight w:val="none"/>
          <w:u w:val="none"/>
          <w:lang w:eastAsia="zh-CN"/>
        </w:rPr>
        <w:t>；（提供加盖响应人公章的资质证书和有效期内的安全生产许可证复印件）</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项目负责人资质类别和等级:</w:t>
      </w:r>
      <w:r>
        <w:rPr>
          <w:rFonts w:hint="eastAsia" w:ascii="宋体" w:hAnsi="宋体" w:eastAsia="宋体" w:cs="宋体"/>
          <w:sz w:val="24"/>
          <w:szCs w:val="24"/>
          <w:highlight w:val="none"/>
          <w:u w:val="single"/>
        </w:rPr>
        <w:t>注册建造师建筑工程二级(含)以上资</w:t>
      </w:r>
      <w:r>
        <w:rPr>
          <w:rFonts w:hint="eastAsia" w:ascii="宋体" w:hAnsi="宋体" w:eastAsia="宋体" w:cs="宋体"/>
          <w:sz w:val="24"/>
          <w:szCs w:val="24"/>
          <w:highlight w:val="none"/>
          <w:u w:val="single"/>
          <w:lang w:eastAsia="zh-CN"/>
        </w:rPr>
        <w:t>质</w:t>
      </w:r>
      <w:r>
        <w:rPr>
          <w:rFonts w:hint="eastAsia" w:ascii="宋体" w:hAnsi="宋体" w:eastAsia="宋体" w:cs="宋体"/>
          <w:sz w:val="24"/>
          <w:szCs w:val="24"/>
          <w:highlight w:val="none"/>
        </w:rPr>
        <w:t>；（提供加盖响应人公章的建造师资质证书、安全生产考核合格证（</w:t>
      </w:r>
      <w:r>
        <w:rPr>
          <w:rFonts w:ascii="宋体" w:hAnsi="宋体" w:eastAsia="宋体" w:cs="宋体"/>
          <w:sz w:val="24"/>
          <w:szCs w:val="24"/>
          <w:highlight w:val="none"/>
        </w:rPr>
        <w:t>B类）及社保缴纳证明</w:t>
      </w:r>
      <w:r>
        <w:rPr>
          <w:rFonts w:hint="eastAsia" w:ascii="宋体" w:hAnsi="宋体" w:eastAsia="宋体" w:cs="宋体"/>
          <w:sz w:val="24"/>
          <w:szCs w:val="24"/>
          <w:highlight w:val="none"/>
        </w:rPr>
        <w:t>复印件）</w:t>
      </w:r>
    </w:p>
    <w:p>
      <w:pPr>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ascii="宋体" w:hAnsi="宋体" w:eastAsia="宋体" w:cs="宋体"/>
          <w:sz w:val="24"/>
          <w:szCs w:val="24"/>
          <w:highlight w:val="none"/>
        </w:rPr>
        <w:t>、</w:t>
      </w:r>
      <w:r>
        <w:rPr>
          <w:rFonts w:hint="eastAsia" w:ascii="宋体" w:hAnsi="宋体" w:eastAsia="宋体" w:cs="宋体"/>
          <w:sz w:val="24"/>
          <w:szCs w:val="24"/>
          <w:highlight w:val="none"/>
        </w:rPr>
        <w:t>投标人</w:t>
      </w:r>
      <w:r>
        <w:rPr>
          <w:rFonts w:ascii="宋体" w:hAnsi="宋体" w:eastAsia="宋体" w:cs="宋体"/>
          <w:sz w:val="24"/>
          <w:szCs w:val="24"/>
          <w:highlight w:val="none"/>
        </w:rPr>
        <w:t>不得有下列行为</w:t>
      </w:r>
      <w:r>
        <w:rPr>
          <w:rFonts w:hint="eastAsia" w:ascii="宋体" w:hAnsi="宋体" w:eastAsia="宋体" w:cs="宋体"/>
          <w:sz w:val="24"/>
          <w:szCs w:val="24"/>
          <w:highlight w:val="none"/>
          <w:lang w:eastAsia="zh-CN"/>
        </w:rPr>
        <w:t>（提供承诺书）</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①有违反法律、法规行为，依法被取消投标资格且期限未满的；</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②因为招投标活动中有违法违规和不良行为，被有关招投标行政监督部门公示且公示期限未满的；</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③处于被责令停业或者财产被接管冻结和破产状态；</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④企业有因骗取中标或者严重违约以及发生重大工程质量、安全生产事故等问题，被有关部门暂停投标资格并在暂停期内的。</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5 \* GB3 \* MERGEFORMAT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⑤</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2016年1月1日至今（含）至本项目公告发布之日，</w:t>
      </w:r>
      <w:r>
        <w:rPr>
          <w:rFonts w:hint="eastAsia" w:ascii="宋体" w:hAnsi="宋体" w:eastAsia="宋体" w:cs="宋体"/>
          <w:sz w:val="24"/>
          <w:szCs w:val="24"/>
          <w:highlight w:val="none"/>
        </w:rPr>
        <w:t>被“信用中国”网站（</w:t>
      </w:r>
      <w:r>
        <w:rPr>
          <w:rFonts w:ascii="宋体" w:hAnsi="宋体" w:eastAsia="宋体" w:cs="宋体"/>
          <w:sz w:val="24"/>
          <w:szCs w:val="24"/>
          <w:highlight w:val="none"/>
        </w:rPr>
        <w:t>http://www.creditchina.gov.cn）列入失信被执行人、重大税收违法案件当事人名单、政府采购严重违法失信行为记录名单内</w:t>
      </w:r>
      <w:r>
        <w:rPr>
          <w:rFonts w:hint="eastAsia" w:ascii="宋体" w:hAnsi="宋体" w:eastAsia="宋体" w:cs="宋体"/>
          <w:sz w:val="24"/>
          <w:szCs w:val="24"/>
          <w:highlight w:val="none"/>
          <w:lang w:eastAsia="zh-CN"/>
        </w:rPr>
        <w:t>的</w:t>
      </w:r>
      <w:r>
        <w:rPr>
          <w:rFonts w:ascii="宋体" w:hAnsi="宋体" w:eastAsia="宋体" w:cs="宋体"/>
          <w:sz w:val="24"/>
          <w:szCs w:val="24"/>
          <w:highlight w:val="none"/>
        </w:rPr>
        <w:t>；</w:t>
      </w:r>
    </w:p>
    <w:p>
      <w:pPr>
        <w:snapToGrid w:val="0"/>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、法定代表人为同一个人的两个及两个以上法人，母公司、全资子公司及其控股公司，都不得同时报价，否则取消其报价资格。</w:t>
      </w:r>
    </w:p>
    <w:p>
      <w:pPr>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ascii="宋体" w:hAnsi="宋体" w:eastAsia="宋体" w:cs="宋体"/>
          <w:sz w:val="24"/>
          <w:szCs w:val="24"/>
          <w:highlight w:val="none"/>
        </w:rPr>
        <w:t>、本项目接受联合体报名。</w:t>
      </w:r>
    </w:p>
    <w:p>
      <w:pPr>
        <w:snapToGrid w:val="0"/>
        <w:spacing w:line="500" w:lineRule="exact"/>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注：投标人必须在投标文件中对上述资质要求逐条响应并提供有效证明材料，否则将导致响应无效。</w:t>
      </w:r>
    </w:p>
    <w:p>
      <w:pPr>
        <w:snapToGrid w:val="0"/>
        <w:spacing w:line="500" w:lineRule="exact"/>
        <w:ind w:firstLine="482" w:firstLineChars="200"/>
        <w:rPr>
          <w:rFonts w:ascii="宋体" w:hAnsi="宋体" w:eastAsia="宋体"/>
          <w:b/>
          <w:sz w:val="24"/>
          <w:szCs w:val="24"/>
          <w:highlight w:val="none"/>
        </w:rPr>
      </w:pPr>
      <w:r>
        <w:rPr>
          <w:rFonts w:hint="eastAsia" w:ascii="宋体" w:hAnsi="宋体" w:eastAsia="宋体" w:cs="宋体"/>
          <w:b/>
          <w:sz w:val="24"/>
          <w:szCs w:val="24"/>
          <w:highlight w:val="none"/>
        </w:rPr>
        <w:t>（三）</w:t>
      </w:r>
      <w:r>
        <w:rPr>
          <w:rFonts w:hint="eastAsia" w:ascii="宋体" w:hAnsi="宋体" w:eastAsia="宋体"/>
          <w:b/>
          <w:sz w:val="24"/>
          <w:szCs w:val="24"/>
          <w:highlight w:val="none"/>
        </w:rPr>
        <w:t>投标费用</w:t>
      </w:r>
      <w:bookmarkEnd w:id="7"/>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z w:val="24"/>
          <w:szCs w:val="24"/>
          <w:highlight w:val="none"/>
        </w:rPr>
        <w:t>投标人应承担其编制投标文件与递交投标文件所涉及的一切费用。不管投标结果如何，招标人对上述费用不负任何责任。</w:t>
      </w:r>
    </w:p>
    <w:p>
      <w:pPr>
        <w:adjustRightInd w:val="0"/>
        <w:snapToGrid w:val="0"/>
        <w:spacing w:line="500" w:lineRule="exact"/>
        <w:ind w:firstLine="482" w:firstLineChars="200"/>
        <w:rPr>
          <w:rFonts w:ascii="宋体" w:hAnsi="宋体" w:eastAsia="宋体"/>
          <w:b/>
          <w:sz w:val="24"/>
          <w:szCs w:val="24"/>
          <w:highlight w:val="none"/>
        </w:rPr>
      </w:pPr>
      <w:bookmarkStart w:id="8" w:name="_Toc329097724"/>
      <w:r>
        <w:rPr>
          <w:rFonts w:hint="eastAsia" w:ascii="宋体" w:hAnsi="宋体" w:eastAsia="宋体"/>
          <w:b/>
          <w:sz w:val="24"/>
          <w:szCs w:val="24"/>
          <w:highlight w:val="none"/>
        </w:rPr>
        <w:t>（四）在招标过程中，出现下列情况之一的，应予重新招标：</w:t>
      </w:r>
      <w:bookmarkEnd w:id="8"/>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、提交投标文件的投标人少于三家；</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、投标人的报价均超过了招标预算，招标人不能支付的；</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、所有投标被否决的。</w:t>
      </w:r>
    </w:p>
    <w:p>
      <w:pPr>
        <w:adjustRightInd w:val="0"/>
        <w:snapToGrid w:val="0"/>
        <w:spacing w:line="500" w:lineRule="exact"/>
        <w:ind w:firstLine="482" w:firstLineChars="200"/>
        <w:jc w:val="both"/>
        <w:rPr>
          <w:rFonts w:ascii="宋体" w:hAnsi="宋体" w:eastAsia="宋体"/>
          <w:b/>
          <w:bCs/>
          <w:sz w:val="24"/>
          <w:szCs w:val="24"/>
          <w:highlight w:val="none"/>
        </w:rPr>
      </w:pPr>
      <w:r>
        <w:rPr>
          <w:rFonts w:hint="eastAsia" w:ascii="宋体" w:hAnsi="宋体" w:eastAsia="宋体"/>
          <w:b/>
          <w:bCs/>
          <w:sz w:val="24"/>
          <w:szCs w:val="24"/>
          <w:highlight w:val="none"/>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2）如改用单一来源采购方式的：在保证采购项目质量和双方商定合理价格的基础上进行采购。</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w:t>
      </w:r>
      <w:r>
        <w:rPr>
          <w:rFonts w:hint="eastAsia" w:ascii="宋体" w:hAnsi="宋体" w:eastAsia="宋体"/>
          <w:sz w:val="24"/>
          <w:szCs w:val="24"/>
          <w:highlight w:val="none"/>
        </w:rPr>
        <w:t>投标</w:t>
      </w:r>
      <w:r>
        <w:rPr>
          <w:rFonts w:ascii="宋体" w:hAnsi="宋体" w:eastAsia="宋体"/>
          <w:sz w:val="24"/>
          <w:szCs w:val="24"/>
          <w:highlight w:val="none"/>
        </w:rPr>
        <w:t>人若不接受采购方式的改变，应在规定的时间内书面向</w:t>
      </w:r>
      <w:r>
        <w:rPr>
          <w:rFonts w:hint="eastAsia" w:ascii="宋体" w:hAnsi="宋体" w:eastAsia="宋体"/>
          <w:sz w:val="24"/>
          <w:szCs w:val="24"/>
          <w:highlight w:val="none"/>
        </w:rPr>
        <w:t>评标委员会</w:t>
      </w:r>
      <w:r>
        <w:rPr>
          <w:rFonts w:ascii="宋体" w:hAnsi="宋体" w:eastAsia="宋体"/>
          <w:sz w:val="24"/>
          <w:szCs w:val="24"/>
          <w:highlight w:val="none"/>
        </w:rPr>
        <w:t>说明，未在规定时间内提交书面说明的视为接受采购方式的改变。</w:t>
      </w:r>
    </w:p>
    <w:p>
      <w:pPr>
        <w:pStyle w:val="4"/>
        <w:spacing w:before="360" w:after="120" w:line="360" w:lineRule="auto"/>
        <w:rPr>
          <w:rFonts w:ascii="宋体" w:hAnsi="宋体" w:eastAsia="宋体"/>
          <w:snapToGrid w:val="0"/>
          <w:sz w:val="28"/>
          <w:szCs w:val="28"/>
          <w:highlight w:val="none"/>
        </w:rPr>
      </w:pPr>
      <w:bookmarkStart w:id="9" w:name="_Toc329097726"/>
      <w:bookmarkStart w:id="10" w:name="_Toc8175"/>
      <w:r>
        <w:rPr>
          <w:rFonts w:hint="eastAsia" w:ascii="宋体" w:hAnsi="宋体" w:eastAsia="宋体"/>
          <w:snapToGrid w:val="0"/>
          <w:sz w:val="28"/>
          <w:szCs w:val="28"/>
          <w:highlight w:val="none"/>
        </w:rPr>
        <w:t>二、招标文件</w:t>
      </w:r>
      <w:bookmarkEnd w:id="9"/>
      <w:bookmarkEnd w:id="10"/>
    </w:p>
    <w:p>
      <w:pPr>
        <w:adjustRightInd w:val="0"/>
        <w:snapToGrid w:val="0"/>
        <w:spacing w:line="500" w:lineRule="exact"/>
        <w:ind w:firstLine="482" w:firstLineChars="200"/>
        <w:jc w:val="both"/>
        <w:rPr>
          <w:rFonts w:ascii="宋体" w:hAnsi="宋体" w:eastAsia="宋体"/>
          <w:b/>
          <w:sz w:val="24"/>
          <w:szCs w:val="24"/>
          <w:highlight w:val="none"/>
        </w:rPr>
      </w:pPr>
      <w:bookmarkStart w:id="11" w:name="_Toc329097727"/>
      <w:r>
        <w:rPr>
          <w:rFonts w:hint="eastAsia" w:ascii="宋体" w:hAnsi="宋体" w:eastAsia="宋体"/>
          <w:b/>
          <w:sz w:val="24"/>
          <w:szCs w:val="24"/>
          <w:highlight w:val="none"/>
        </w:rPr>
        <w:t>（五）招标文件的组成</w:t>
      </w:r>
      <w:bookmarkEnd w:id="11"/>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、招标文件包括本文件及所有按第（六）条发出的修改澄清通知。</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、投标人应认真审阅招标文件所有的内容，如果投标人的投标文件不能实质性地响应招标文件要求，责任由投标人自负。</w:t>
      </w:r>
    </w:p>
    <w:p>
      <w:pPr>
        <w:adjustRightInd w:val="0"/>
        <w:snapToGrid w:val="0"/>
        <w:spacing w:line="500" w:lineRule="exact"/>
        <w:ind w:firstLine="482" w:firstLineChars="200"/>
        <w:jc w:val="both"/>
        <w:rPr>
          <w:rFonts w:ascii="宋体" w:hAnsi="宋体" w:eastAsia="宋体"/>
          <w:b/>
          <w:sz w:val="24"/>
          <w:szCs w:val="24"/>
          <w:highlight w:val="none"/>
        </w:rPr>
      </w:pPr>
      <w:bookmarkStart w:id="12" w:name="_Toc329097728"/>
      <w:r>
        <w:rPr>
          <w:rFonts w:hint="eastAsia" w:ascii="宋体" w:hAnsi="宋体" w:eastAsia="宋体"/>
          <w:b/>
          <w:sz w:val="24"/>
          <w:szCs w:val="24"/>
          <w:highlight w:val="none"/>
        </w:rPr>
        <w:t>（六）招标文件的澄清</w:t>
      </w:r>
      <w:bookmarkEnd w:id="12"/>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1</w:t>
      </w:r>
      <w:r>
        <w:rPr>
          <w:rFonts w:hint="eastAsia" w:ascii="宋体" w:hAnsi="宋体" w:eastAsia="宋体"/>
          <w:snapToGrid w:val="0"/>
          <w:sz w:val="24"/>
          <w:szCs w:val="24"/>
          <w:highlight w:val="none"/>
        </w:rPr>
        <w:t>、投标人在收到招标文件和踏勘现场后，若有疑问需要澄清，应于收到招标文件后</w:t>
      </w:r>
      <w:r>
        <w:rPr>
          <w:rFonts w:ascii="宋体" w:hAnsi="宋体" w:eastAsia="宋体"/>
          <w:snapToGrid w:val="0"/>
          <w:sz w:val="24"/>
          <w:szCs w:val="24"/>
          <w:highlight w:val="none"/>
          <w:u w:val="single"/>
        </w:rPr>
        <w:t xml:space="preserve"> </w:t>
      </w:r>
      <w:r>
        <w:rPr>
          <w:rFonts w:hint="eastAsia" w:ascii="宋体" w:hAnsi="宋体" w:eastAsia="宋体"/>
          <w:snapToGrid w:val="0"/>
          <w:sz w:val="24"/>
          <w:szCs w:val="24"/>
          <w:highlight w:val="none"/>
          <w:u w:val="single"/>
        </w:rPr>
        <w:t>2</w:t>
      </w:r>
      <w:r>
        <w:rPr>
          <w:rFonts w:ascii="宋体" w:hAnsi="宋体" w:eastAsia="宋体"/>
          <w:snapToGrid w:val="0"/>
          <w:sz w:val="24"/>
          <w:szCs w:val="24"/>
          <w:highlight w:val="none"/>
          <w:u w:val="single"/>
        </w:rPr>
        <w:t xml:space="preserve"> </w:t>
      </w:r>
      <w:r>
        <w:rPr>
          <w:rFonts w:hint="eastAsia" w:ascii="宋体" w:hAnsi="宋体" w:eastAsia="宋体"/>
          <w:snapToGrid w:val="0"/>
          <w:sz w:val="24"/>
          <w:szCs w:val="24"/>
          <w:highlight w:val="none"/>
        </w:rPr>
        <w:t>日内以书面形式（包括书面文字、传真等）向招标人提出，招标人将以书面形式予以解答。</w:t>
      </w:r>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2</w:t>
      </w:r>
      <w:r>
        <w:rPr>
          <w:rFonts w:hint="eastAsia" w:ascii="宋体" w:hAnsi="宋体" w:eastAsia="宋体"/>
          <w:snapToGrid w:val="0"/>
          <w:sz w:val="24"/>
          <w:szCs w:val="24"/>
          <w:highlight w:val="none"/>
        </w:rPr>
        <w:t>、所有问题的解答，将在</w:t>
      </w:r>
      <w:r>
        <w:rPr>
          <w:rFonts w:hint="eastAsia" w:ascii="宋体" w:hAnsi="宋体" w:eastAsia="宋体"/>
          <w:snapToGrid w:val="0"/>
          <w:sz w:val="24"/>
          <w:szCs w:val="24"/>
          <w:highlight w:val="none"/>
          <w:u w:val="single"/>
        </w:rPr>
        <w:t>1</w:t>
      </w:r>
      <w:r>
        <w:rPr>
          <w:rFonts w:hint="eastAsia" w:ascii="宋体" w:hAnsi="宋体" w:eastAsia="宋体"/>
          <w:snapToGrid w:val="0"/>
          <w:sz w:val="24"/>
          <w:szCs w:val="24"/>
          <w:highlight w:val="none"/>
        </w:rPr>
        <w:t>日内提供所有投标人。由此而产生的对招标文件内容的修改，以修改通知的方式发出。</w:t>
      </w:r>
    </w:p>
    <w:p>
      <w:pPr>
        <w:adjustRightInd w:val="0"/>
        <w:snapToGrid w:val="0"/>
        <w:spacing w:line="500" w:lineRule="exact"/>
        <w:ind w:firstLine="482" w:firstLineChars="200"/>
        <w:jc w:val="both"/>
        <w:rPr>
          <w:rFonts w:ascii="宋体" w:hAnsi="宋体" w:eastAsia="宋体"/>
          <w:b/>
          <w:sz w:val="24"/>
          <w:szCs w:val="24"/>
          <w:highlight w:val="none"/>
        </w:rPr>
      </w:pPr>
      <w:bookmarkStart w:id="13" w:name="_Toc329097729"/>
      <w:r>
        <w:rPr>
          <w:rFonts w:hint="eastAsia" w:ascii="宋体" w:hAnsi="宋体" w:eastAsia="宋体"/>
          <w:b/>
          <w:sz w:val="24"/>
          <w:szCs w:val="24"/>
          <w:highlight w:val="none"/>
        </w:rPr>
        <w:t>（七）招标文件的修改</w:t>
      </w:r>
      <w:bookmarkEnd w:id="13"/>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1</w:t>
      </w:r>
      <w:r>
        <w:rPr>
          <w:rFonts w:hint="eastAsia" w:ascii="宋体" w:hAnsi="宋体" w:eastAsia="宋体"/>
          <w:snapToGrid w:val="0"/>
          <w:sz w:val="24"/>
          <w:szCs w:val="24"/>
          <w:highlight w:val="none"/>
        </w:rPr>
        <w:t>、在投标截止日期前，招标人都可能会以书面通知的方式修改招标文件。修改通知作为招标文件的组成部分，对投标人起同等约束作用。</w:t>
      </w:r>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2</w:t>
      </w:r>
      <w:r>
        <w:rPr>
          <w:rFonts w:hint="eastAsia" w:ascii="宋体" w:hAnsi="宋体" w:eastAsia="宋体"/>
          <w:snapToGrid w:val="0"/>
          <w:sz w:val="24"/>
          <w:szCs w:val="24"/>
          <w:highlight w:val="none"/>
        </w:rPr>
        <w:t>、为使投标人在编制投标文件时把修改通知内容考虑进去，招标人可以酌情延长递交投标文件的截止日期。具体时间将在修改通知中写明。</w:t>
      </w:r>
    </w:p>
    <w:p>
      <w:pPr>
        <w:tabs>
          <w:tab w:val="left" w:pos="1100"/>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3</w:t>
      </w:r>
      <w:r>
        <w:rPr>
          <w:rFonts w:hint="eastAsia" w:ascii="宋体" w:hAnsi="宋体" w:eastAsia="宋体"/>
          <w:snapToGrid w:val="0"/>
          <w:sz w:val="24"/>
          <w:szCs w:val="24"/>
          <w:highlight w:val="none"/>
        </w:rPr>
        <w:t>、招标文件、修改通知内容相互矛盾时，以最后发出的通知为准。</w:t>
      </w:r>
    </w:p>
    <w:p>
      <w:pPr>
        <w:pStyle w:val="4"/>
        <w:spacing w:before="360" w:after="120" w:line="360" w:lineRule="auto"/>
        <w:rPr>
          <w:rFonts w:ascii="宋体" w:hAnsi="宋体" w:eastAsia="宋体"/>
          <w:snapToGrid w:val="0"/>
          <w:sz w:val="28"/>
          <w:szCs w:val="28"/>
          <w:highlight w:val="none"/>
        </w:rPr>
      </w:pPr>
      <w:bookmarkStart w:id="14" w:name="_Toc329097730"/>
      <w:bookmarkStart w:id="15" w:name="_Toc1465"/>
      <w:r>
        <w:rPr>
          <w:rFonts w:hint="eastAsia" w:ascii="宋体" w:hAnsi="宋体" w:eastAsia="宋体"/>
          <w:snapToGrid w:val="0"/>
          <w:sz w:val="28"/>
          <w:szCs w:val="28"/>
          <w:highlight w:val="none"/>
        </w:rPr>
        <w:t>三、投标报价</w:t>
      </w:r>
      <w:bookmarkEnd w:id="14"/>
      <w:bookmarkEnd w:id="15"/>
    </w:p>
    <w:p>
      <w:pPr>
        <w:adjustRightInd w:val="0"/>
        <w:snapToGrid w:val="0"/>
        <w:spacing w:line="500" w:lineRule="exact"/>
        <w:ind w:firstLine="482" w:firstLineChars="200"/>
        <w:jc w:val="both"/>
        <w:rPr>
          <w:rFonts w:ascii="宋体" w:hAnsi="宋体" w:eastAsia="宋体"/>
          <w:b/>
          <w:sz w:val="24"/>
          <w:szCs w:val="24"/>
          <w:highlight w:val="none"/>
        </w:rPr>
      </w:pPr>
      <w:bookmarkStart w:id="16" w:name="_Toc329097731"/>
      <w:r>
        <w:rPr>
          <w:rFonts w:hint="eastAsia" w:ascii="宋体" w:hAnsi="宋体" w:eastAsia="宋体"/>
          <w:b/>
          <w:sz w:val="24"/>
          <w:szCs w:val="24"/>
          <w:highlight w:val="none"/>
        </w:rPr>
        <w:t>（八）投标报价</w:t>
      </w:r>
      <w:bookmarkEnd w:id="16"/>
    </w:p>
    <w:p>
      <w:pPr>
        <w:tabs>
          <w:tab w:val="left" w:pos="0"/>
          <w:tab w:val="left" w:pos="1134"/>
        </w:tabs>
        <w:adjustRightInd w:val="0"/>
        <w:snapToGrid w:val="0"/>
        <w:spacing w:line="500" w:lineRule="exact"/>
        <w:ind w:firstLine="480" w:firstLineChars="200"/>
        <w:jc w:val="both"/>
        <w:rPr>
          <w:rFonts w:ascii="宋体" w:hAnsi="宋体" w:eastAsia="宋体"/>
          <w:snapToGrid w:val="0"/>
          <w:spacing w:val="-8"/>
          <w:sz w:val="24"/>
          <w:szCs w:val="24"/>
          <w:highlight w:val="none"/>
        </w:rPr>
      </w:pPr>
      <w:r>
        <w:rPr>
          <w:rFonts w:ascii="宋体" w:hAnsi="宋体" w:eastAsia="宋体"/>
          <w:snapToGrid w:val="0"/>
          <w:sz w:val="24"/>
          <w:szCs w:val="24"/>
          <w:highlight w:val="none"/>
        </w:rPr>
        <w:t>1</w:t>
      </w:r>
      <w:r>
        <w:rPr>
          <w:rFonts w:hint="eastAsia" w:ascii="宋体" w:hAnsi="宋体" w:eastAsia="宋体"/>
          <w:snapToGrid w:val="0"/>
          <w:sz w:val="24"/>
          <w:szCs w:val="24"/>
          <w:highlight w:val="none"/>
        </w:rPr>
        <w:t>、</w:t>
      </w:r>
      <w:r>
        <w:rPr>
          <w:rFonts w:hint="eastAsia" w:ascii="宋体" w:hAnsi="宋体" w:eastAsia="宋体"/>
          <w:snapToGrid w:val="0"/>
          <w:spacing w:val="-8"/>
          <w:sz w:val="24"/>
          <w:szCs w:val="24"/>
          <w:highlight w:val="none"/>
        </w:rPr>
        <w:t>投标报价应是招标文件所确定的招标范围、内容中的全部工作内容的价格体现。其应包括施工设备、劳务、管理、材料、安装、维护、利润、环保、税金、脚手架专家论证费、工程实体及材料的检测检验费、建筑垃圾清运出校区及政策性文件规定的、保证工期、质量、文明施工等各项应有费用。</w:t>
      </w:r>
    </w:p>
    <w:p>
      <w:pPr>
        <w:tabs>
          <w:tab w:val="left" w:pos="0"/>
          <w:tab w:val="left" w:pos="1134"/>
        </w:tabs>
        <w:adjustRightInd w:val="0"/>
        <w:snapToGrid w:val="0"/>
        <w:spacing w:line="500" w:lineRule="exact"/>
        <w:ind w:firstLine="448" w:firstLineChars="200"/>
        <w:jc w:val="both"/>
        <w:rPr>
          <w:rFonts w:ascii="宋体" w:hAnsi="宋体" w:eastAsia="宋体"/>
          <w:snapToGrid w:val="0"/>
          <w:spacing w:val="-8"/>
          <w:sz w:val="24"/>
          <w:szCs w:val="24"/>
          <w:highlight w:val="none"/>
        </w:rPr>
      </w:pPr>
      <w:r>
        <w:rPr>
          <w:rFonts w:hint="eastAsia" w:ascii="宋体" w:hAnsi="宋体" w:eastAsia="宋体"/>
          <w:snapToGrid w:val="0"/>
          <w:spacing w:val="-8"/>
          <w:sz w:val="24"/>
          <w:szCs w:val="24"/>
          <w:highlight w:val="none"/>
        </w:rPr>
        <w:t>2、投标人在报价时应充分考虑施工期间各类建材的市场风险和政策性调整确定风险系数计入总报价，今后不作调整。设计变更和招标人要求变动的内容除外。</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3、可选用的工程预算、费用定额和政策性文件</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w:t>
      </w:r>
      <w:r>
        <w:rPr>
          <w:rFonts w:ascii="宋体" w:hAnsi="宋体" w:eastAsia="宋体"/>
          <w:snapToGrid w:val="0"/>
          <w:sz w:val="24"/>
          <w:szCs w:val="24"/>
          <w:highlight w:val="none"/>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4、投标报价编制要求</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（1）</w:t>
      </w:r>
      <w:r>
        <w:rPr>
          <w:rFonts w:ascii="宋体" w:hAnsi="宋体" w:eastAsia="宋体"/>
          <w:snapToGrid w:val="0"/>
          <w:sz w:val="24"/>
          <w:szCs w:val="24"/>
          <w:highlight w:val="none"/>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乙供材料及设备单价、机械台班单价、管理费、利润、规费、税金及应承担的市场风险）在合同实施期间不因价格</w:t>
      </w:r>
      <w:r>
        <w:rPr>
          <w:rFonts w:hint="eastAsia" w:ascii="宋体" w:hAnsi="宋体" w:eastAsia="宋体"/>
          <w:snapToGrid w:val="0"/>
          <w:sz w:val="24"/>
          <w:szCs w:val="24"/>
          <w:highlight w:val="none"/>
        </w:rPr>
        <w:t>变动而调整。</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（2）报价应按《建设工程工程量清单计价规范》规定的统一格式填写，</w:t>
      </w:r>
      <w:r>
        <w:rPr>
          <w:rFonts w:ascii="宋体" w:hAnsi="宋体" w:eastAsia="宋体"/>
          <w:snapToGrid w:val="0"/>
          <w:sz w:val="24"/>
          <w:szCs w:val="24"/>
          <w:highlight w:val="none"/>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hint="eastAsia" w:ascii="宋体" w:hAnsi="宋体" w:eastAsia="宋体"/>
          <w:snapToGrid w:val="0"/>
          <w:sz w:val="24"/>
          <w:szCs w:val="24"/>
          <w:highlight w:val="none"/>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（3）</w:t>
      </w:r>
      <w:r>
        <w:rPr>
          <w:rFonts w:ascii="宋体" w:hAnsi="宋体" w:eastAsia="宋体"/>
          <w:snapToGrid w:val="0"/>
          <w:sz w:val="24"/>
          <w:szCs w:val="24"/>
          <w:highlight w:val="none"/>
        </w:rPr>
        <w:t>投标人自行到施工现场踏勘以充分了解工地位置、环境、道路、储存空间、装卸限制及任何其他足以影响报价之情况。投标人任何因忽视或误解工地情况而导致的成本增加或工期延长等申请一律不予认可。</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（4</w:t>
      </w:r>
      <w:r>
        <w:rPr>
          <w:rFonts w:ascii="宋体" w:hAnsi="宋体" w:eastAsia="宋体"/>
          <w:snapToGrid w:val="0"/>
          <w:sz w:val="24"/>
          <w:szCs w:val="24"/>
          <w:highlight w:val="none"/>
        </w:rPr>
        <w:t>）施工组织设计中采用的技术措施须满足国家现行规范、规程及技术要求。</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（5</w:t>
      </w:r>
      <w:r>
        <w:rPr>
          <w:rFonts w:ascii="宋体" w:hAnsi="宋体" w:eastAsia="宋体"/>
          <w:snapToGrid w:val="0"/>
          <w:sz w:val="24"/>
          <w:szCs w:val="24"/>
          <w:highlight w:val="none"/>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（6</w:t>
      </w:r>
      <w:r>
        <w:rPr>
          <w:rFonts w:ascii="宋体" w:hAnsi="宋体" w:eastAsia="宋体"/>
          <w:snapToGrid w:val="0"/>
          <w:sz w:val="24"/>
          <w:szCs w:val="24"/>
          <w:highlight w:val="none"/>
        </w:rPr>
        <w:t>）本工程措施费项目结算时不做调整，投标文件中未列的项目视为投标优惠或含在其他项目中。</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（7</w:t>
      </w:r>
      <w:r>
        <w:rPr>
          <w:rFonts w:ascii="宋体" w:hAnsi="宋体" w:eastAsia="宋体"/>
          <w:snapToGrid w:val="0"/>
          <w:sz w:val="24"/>
          <w:szCs w:val="24"/>
          <w:highlight w:val="none"/>
        </w:rPr>
        <w:t>）结算时不做调整的工程措施费不含招标清单以外增加的施工内容及施工区域，招标清单以外增加的施工内容及施工区域措施费的记取参照投标报价执行。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（8</w:t>
      </w:r>
      <w:r>
        <w:rPr>
          <w:rFonts w:ascii="宋体" w:hAnsi="宋体" w:eastAsia="宋体"/>
          <w:snapToGrid w:val="0"/>
          <w:sz w:val="24"/>
          <w:szCs w:val="24"/>
          <w:highlight w:val="none"/>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（9</w:t>
      </w:r>
      <w:r>
        <w:rPr>
          <w:rFonts w:ascii="宋体" w:hAnsi="宋体" w:eastAsia="宋体"/>
          <w:snapToGrid w:val="0"/>
          <w:sz w:val="24"/>
          <w:szCs w:val="24"/>
          <w:highlight w:val="none"/>
        </w:rPr>
        <w:t>）投标人应充分踏勘现场，措施费还应包括现场生活垃圾、临时道路拆除、施工拆除垃圾所产生的垃圾清运以及由此而产生的所有费用，措施费不做调整，投标文件中未列的项目视为投标优惠。</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（10</w:t>
      </w:r>
      <w:r>
        <w:rPr>
          <w:rFonts w:ascii="宋体" w:hAnsi="宋体" w:eastAsia="宋体"/>
          <w:snapToGrid w:val="0"/>
          <w:sz w:val="24"/>
          <w:szCs w:val="24"/>
          <w:highlight w:val="none"/>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pPr>
        <w:pStyle w:val="4"/>
        <w:spacing w:before="360" w:after="120" w:line="360" w:lineRule="auto"/>
        <w:rPr>
          <w:rFonts w:ascii="宋体" w:hAnsi="宋体" w:eastAsia="宋体"/>
          <w:snapToGrid w:val="0"/>
          <w:sz w:val="28"/>
          <w:szCs w:val="28"/>
          <w:highlight w:val="none"/>
        </w:rPr>
      </w:pPr>
      <w:bookmarkStart w:id="17" w:name="_Toc329097732"/>
      <w:bookmarkStart w:id="18" w:name="_Toc23229"/>
      <w:r>
        <w:rPr>
          <w:rFonts w:hint="eastAsia" w:ascii="宋体" w:hAnsi="宋体" w:eastAsia="宋体"/>
          <w:snapToGrid w:val="0"/>
          <w:sz w:val="28"/>
          <w:szCs w:val="28"/>
          <w:highlight w:val="none"/>
        </w:rPr>
        <w:t>四、投标文件的编制</w:t>
      </w:r>
      <w:bookmarkEnd w:id="17"/>
      <w:bookmarkEnd w:id="18"/>
    </w:p>
    <w:p>
      <w:pPr>
        <w:adjustRightInd w:val="0"/>
        <w:snapToGrid w:val="0"/>
        <w:spacing w:line="500" w:lineRule="exact"/>
        <w:ind w:firstLine="482" w:firstLineChars="200"/>
        <w:jc w:val="both"/>
        <w:rPr>
          <w:rFonts w:ascii="宋体" w:hAnsi="宋体" w:eastAsia="宋体"/>
          <w:b/>
          <w:sz w:val="24"/>
          <w:szCs w:val="24"/>
          <w:highlight w:val="none"/>
        </w:rPr>
      </w:pPr>
      <w:bookmarkStart w:id="19" w:name="_Toc329097733"/>
      <w:r>
        <w:rPr>
          <w:rFonts w:hint="eastAsia" w:ascii="宋体" w:hAnsi="宋体" w:eastAsia="宋体"/>
          <w:b/>
          <w:sz w:val="24"/>
          <w:szCs w:val="24"/>
          <w:highlight w:val="none"/>
        </w:rPr>
        <w:t>（九）投标文件的组成</w:t>
      </w:r>
      <w:bookmarkEnd w:id="19"/>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napToGrid w:val="0"/>
          <w:sz w:val="24"/>
          <w:szCs w:val="24"/>
          <w:highlight w:val="none"/>
        </w:rPr>
        <w:t>1、 投标人应当按照招标文件要求编制投标文件，投标文件应对招标文件提出的实质性要求和条件做出响应。</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2、投标人的投标文件应包括下列内容：</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（1）投标函</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（2）法定代表人资格证明书</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（3）授权委托书</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（4）投标报价（包括报价汇总表，工程量清单报价表。）</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（5）辅助资料（第六章中表5.1——表5.3）</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（6）资格审查资料</w:t>
      </w:r>
    </w:p>
    <w:p>
      <w:pPr>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（7）其他资料（如各种奖励证书等）</w:t>
      </w:r>
    </w:p>
    <w:p>
      <w:pPr>
        <w:adjustRightInd w:val="0"/>
        <w:snapToGrid w:val="0"/>
        <w:spacing w:line="500" w:lineRule="exact"/>
        <w:ind w:firstLine="482" w:firstLineChars="200"/>
        <w:jc w:val="both"/>
        <w:rPr>
          <w:rFonts w:ascii="宋体" w:hAnsi="宋体" w:eastAsia="宋体"/>
          <w:b/>
          <w:sz w:val="24"/>
          <w:szCs w:val="24"/>
          <w:highlight w:val="none"/>
        </w:rPr>
      </w:pPr>
      <w:bookmarkStart w:id="20" w:name="_Toc329097734"/>
      <w:r>
        <w:rPr>
          <w:rFonts w:hint="eastAsia" w:ascii="宋体" w:hAnsi="宋体" w:eastAsia="宋体"/>
          <w:b/>
          <w:sz w:val="24"/>
          <w:szCs w:val="24"/>
          <w:highlight w:val="none"/>
        </w:rPr>
        <w:t>（十）</w:t>
      </w:r>
      <w:bookmarkEnd w:id="20"/>
      <w:bookmarkStart w:id="21" w:name="_Toc329097735"/>
      <w:r>
        <w:rPr>
          <w:rFonts w:hint="eastAsia" w:ascii="宋体" w:hAnsi="宋体" w:eastAsia="宋体"/>
          <w:b/>
          <w:sz w:val="24"/>
          <w:szCs w:val="24"/>
          <w:highlight w:val="none"/>
        </w:rPr>
        <w:t>勘察现场</w:t>
      </w:r>
      <w:bookmarkEnd w:id="21"/>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、投标人应对现场和周围环境进行勘察，以获取编制投标文件和签署合同所需的所有资料。勘察现场所发生的费用由投标人承担。</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、招标人向投标人提供的有关的资料和数据是招标人现有的能使投标人利用的资料。招标人对投标人由此而做出的推论、理解和结论概不负责。</w:t>
      </w:r>
    </w:p>
    <w:p>
      <w:pPr>
        <w:adjustRightInd w:val="0"/>
        <w:snapToGrid w:val="0"/>
        <w:spacing w:line="500" w:lineRule="exact"/>
        <w:ind w:firstLine="482" w:firstLineChars="200"/>
        <w:jc w:val="both"/>
        <w:rPr>
          <w:rFonts w:ascii="宋体" w:hAnsi="宋体" w:eastAsia="宋体"/>
          <w:b/>
          <w:sz w:val="24"/>
          <w:szCs w:val="24"/>
          <w:highlight w:val="none"/>
        </w:rPr>
      </w:pPr>
      <w:bookmarkStart w:id="22" w:name="_Toc329097736"/>
      <w:r>
        <w:rPr>
          <w:rFonts w:hint="eastAsia" w:ascii="宋体" w:hAnsi="宋体" w:eastAsia="宋体"/>
          <w:b/>
          <w:sz w:val="24"/>
          <w:szCs w:val="24"/>
          <w:highlight w:val="none"/>
        </w:rPr>
        <w:t>（十一）投标文件的份数和签署</w:t>
      </w:r>
      <w:bookmarkEnd w:id="22"/>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bookmarkStart w:id="23" w:name="_Toc329097737"/>
      <w:r>
        <w:rPr>
          <w:rFonts w:ascii="宋体" w:hAnsi="宋体" w:eastAsia="宋体"/>
          <w:sz w:val="24"/>
          <w:szCs w:val="24"/>
          <w:highlight w:val="none"/>
        </w:rPr>
        <w:t>1、投标人应提供投标文件（含资格审查资料）正本一份、副本</w:t>
      </w:r>
      <w:r>
        <w:rPr>
          <w:rFonts w:hint="eastAsia" w:ascii="宋体" w:hAnsi="宋体" w:eastAsia="宋体"/>
          <w:sz w:val="24"/>
          <w:szCs w:val="24"/>
          <w:highlight w:val="none"/>
        </w:rPr>
        <w:t>二</w:t>
      </w:r>
      <w:r>
        <w:rPr>
          <w:rFonts w:ascii="宋体" w:hAnsi="宋体" w:eastAsia="宋体"/>
          <w:sz w:val="24"/>
          <w:szCs w:val="24"/>
          <w:highlight w:val="none"/>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2、投标文件正本与副本均应使用不能擦去的墨水书写或打印，按具体要求由投标人加盖公章和法定代表人或法定代表人委托的代理人印鉴或签字。</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3、全套投标文件应无涂改和行间插字，除非这些删改是根据招标人的指示进行的，或者是投标人造成的必须修改的错误。修改处应由投标文件签署人加盖印鉴。</w:t>
      </w:r>
    </w:p>
    <w:p>
      <w:pPr>
        <w:pStyle w:val="4"/>
        <w:spacing w:before="360" w:after="120" w:line="360" w:lineRule="auto"/>
        <w:rPr>
          <w:rFonts w:ascii="宋体" w:hAnsi="宋体" w:eastAsia="宋体"/>
          <w:snapToGrid w:val="0"/>
          <w:sz w:val="28"/>
          <w:szCs w:val="28"/>
          <w:highlight w:val="none"/>
        </w:rPr>
      </w:pPr>
      <w:bookmarkStart w:id="24" w:name="_Toc31994"/>
      <w:r>
        <w:rPr>
          <w:rFonts w:hint="eastAsia" w:ascii="宋体" w:hAnsi="宋体" w:eastAsia="宋体"/>
          <w:snapToGrid w:val="0"/>
          <w:sz w:val="28"/>
          <w:szCs w:val="28"/>
          <w:highlight w:val="none"/>
        </w:rPr>
        <w:t>五、投标文件的递交</w:t>
      </w:r>
      <w:bookmarkEnd w:id="23"/>
      <w:bookmarkEnd w:id="24"/>
    </w:p>
    <w:p>
      <w:pPr>
        <w:adjustRightInd w:val="0"/>
        <w:snapToGrid w:val="0"/>
        <w:spacing w:line="500" w:lineRule="exact"/>
        <w:ind w:firstLine="482" w:firstLineChars="200"/>
        <w:jc w:val="both"/>
        <w:rPr>
          <w:rFonts w:ascii="宋体" w:hAnsi="宋体" w:eastAsia="宋体"/>
          <w:b/>
          <w:sz w:val="24"/>
          <w:szCs w:val="24"/>
          <w:highlight w:val="none"/>
        </w:rPr>
      </w:pPr>
      <w:bookmarkStart w:id="25" w:name="_Toc329097738"/>
      <w:r>
        <w:rPr>
          <w:rFonts w:hint="eastAsia" w:ascii="宋体" w:hAnsi="宋体" w:eastAsia="宋体"/>
          <w:b/>
          <w:sz w:val="24"/>
          <w:szCs w:val="24"/>
          <w:highlight w:val="none"/>
        </w:rPr>
        <w:t>（十二）投标文件的密封与标志</w:t>
      </w:r>
      <w:bookmarkEnd w:id="25"/>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bookmarkStart w:id="26" w:name="_Toc329097739"/>
      <w:r>
        <w:rPr>
          <w:rFonts w:ascii="宋体" w:hAnsi="宋体" w:eastAsia="宋体"/>
          <w:sz w:val="24"/>
          <w:szCs w:val="24"/>
          <w:highlight w:val="none"/>
        </w:rPr>
        <w:t>1</w:t>
      </w:r>
      <w:r>
        <w:rPr>
          <w:rFonts w:hint="eastAsia" w:ascii="宋体" w:hAnsi="宋体" w:eastAsia="宋体"/>
          <w:sz w:val="24"/>
          <w:szCs w:val="24"/>
          <w:highlight w:val="none"/>
        </w:rPr>
        <w:t>、投标文件必须密封递交，并可以在封袋上正确标明“正本”或“副本”，资格审查资料可单独装订密封也可以随投标文件一起装订密封。</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、所有封袋上都可以写明招标人名称和工程名称以及投标人名称。</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3、未按要求密封和加写标记的投标文件，招标人不予受理。</w:t>
      </w:r>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（十三）投标截止期</w:t>
      </w:r>
      <w:bookmarkEnd w:id="26"/>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、投标人应在投标须知中规定的时间之前将投标文件递交到指定地点。招标人在接到投标文件时将在投标文件上注明收到的日期和时间。</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、招标人可以按本文件第（七）条规定以修改通知的方式，酌情延长递交投标文件的截止日期。在上述情况下，招标人与投标人以前的投标截止期方面的全部权力、责任和义务，将适用于延长后新的投标截止期。</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、超过投标截止期送达的投标文件将被拒绝并原封退给投标人。</w:t>
      </w:r>
    </w:p>
    <w:p>
      <w:pPr>
        <w:adjustRightInd w:val="0"/>
        <w:snapToGrid w:val="0"/>
        <w:spacing w:line="500" w:lineRule="exact"/>
        <w:ind w:firstLine="482" w:firstLineChars="200"/>
        <w:jc w:val="both"/>
        <w:rPr>
          <w:rFonts w:ascii="宋体" w:hAnsi="宋体" w:eastAsia="宋体"/>
          <w:b/>
          <w:sz w:val="24"/>
          <w:szCs w:val="24"/>
          <w:highlight w:val="none"/>
        </w:rPr>
      </w:pPr>
      <w:bookmarkStart w:id="27" w:name="_Toc329097740"/>
      <w:r>
        <w:rPr>
          <w:rFonts w:hint="eastAsia" w:ascii="宋体" w:hAnsi="宋体" w:eastAsia="宋体"/>
          <w:b/>
          <w:sz w:val="24"/>
          <w:szCs w:val="24"/>
          <w:highlight w:val="none"/>
        </w:rPr>
        <w:t>（十四）投标文件的修改与撤回</w:t>
      </w:r>
      <w:bookmarkEnd w:id="27"/>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、投标人可以在递交投标文件以后，在规定的投标截止期之前，以书面形式向招标人递交修改或撤回其投标文件的通知。在投标截止期以后，不得更改投标文件。</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、投标人的修改或撤回通知，应按按本文件第（十二）条规定的要求编制、密封、标志和递交（密封袋上应标明“修改”或“撤回”字样）</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、投标截止以后</w:t>
      </w:r>
      <w:r>
        <w:rPr>
          <w:rFonts w:ascii="宋体" w:hAnsi="宋体" w:eastAsia="宋体"/>
          <w:sz w:val="24"/>
          <w:szCs w:val="24"/>
          <w:highlight w:val="none"/>
        </w:rPr>
        <w:t>,</w:t>
      </w:r>
      <w:r>
        <w:rPr>
          <w:rFonts w:hint="eastAsia" w:ascii="宋体" w:hAnsi="宋体" w:eastAsia="宋体"/>
          <w:sz w:val="24"/>
          <w:szCs w:val="24"/>
          <w:highlight w:val="none"/>
        </w:rPr>
        <w:t>在投标有效期内，投标人不得撤回投标文件，否则其投标保证金将被没收。</w:t>
      </w:r>
    </w:p>
    <w:p>
      <w:pPr>
        <w:pStyle w:val="4"/>
        <w:spacing w:before="360" w:after="120" w:line="360" w:lineRule="auto"/>
        <w:rPr>
          <w:rFonts w:ascii="宋体" w:hAnsi="宋体" w:eastAsia="宋体"/>
          <w:snapToGrid w:val="0"/>
          <w:sz w:val="28"/>
          <w:szCs w:val="28"/>
          <w:highlight w:val="none"/>
        </w:rPr>
      </w:pPr>
      <w:bookmarkStart w:id="28" w:name="_Toc329097741"/>
      <w:bookmarkStart w:id="29" w:name="_Toc21784"/>
      <w:r>
        <w:rPr>
          <w:rFonts w:hint="eastAsia" w:ascii="宋体" w:hAnsi="宋体" w:eastAsia="宋体"/>
          <w:snapToGrid w:val="0"/>
          <w:sz w:val="28"/>
          <w:szCs w:val="28"/>
          <w:highlight w:val="none"/>
        </w:rPr>
        <w:t>六、开</w:t>
      </w:r>
      <w:r>
        <w:rPr>
          <w:rFonts w:ascii="宋体" w:hAnsi="宋体" w:eastAsia="宋体"/>
          <w:snapToGrid w:val="0"/>
          <w:sz w:val="28"/>
          <w:szCs w:val="28"/>
          <w:highlight w:val="none"/>
        </w:rPr>
        <w:t xml:space="preserve">    </w:t>
      </w:r>
      <w:r>
        <w:rPr>
          <w:rFonts w:hint="eastAsia" w:ascii="宋体" w:hAnsi="宋体" w:eastAsia="宋体"/>
          <w:snapToGrid w:val="0"/>
          <w:sz w:val="28"/>
          <w:szCs w:val="28"/>
          <w:highlight w:val="none"/>
        </w:rPr>
        <w:t>标</w:t>
      </w:r>
      <w:bookmarkEnd w:id="28"/>
      <w:bookmarkEnd w:id="29"/>
      <w:bookmarkStart w:id="30" w:name="_Toc329097742"/>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（十五）开标</w:t>
      </w:r>
      <w:bookmarkEnd w:id="30"/>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、招标人在招标文件要求提交投标文件的截止时间前收到的所有投标文件，开标时都将当众予以拆封、宣读、记录。</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、唱标顺序按各投标人送达投标文件时间先后的逆顺序进行。</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hint="eastAsia" w:ascii="宋体" w:hAnsi="宋体" w:eastAsia="宋体"/>
          <w:spacing w:val="-12"/>
          <w:sz w:val="24"/>
          <w:szCs w:val="24"/>
          <w:highlight w:val="none"/>
        </w:rPr>
        <w:t>在开标时，投标文件出现下列情形之一的，将作为无效投标文件，不得进入评标</w:t>
      </w:r>
      <w:r>
        <w:rPr>
          <w:rFonts w:hint="eastAsia" w:ascii="宋体" w:hAnsi="宋体" w:eastAsia="宋体"/>
          <w:sz w:val="24"/>
          <w:szCs w:val="24"/>
          <w:highlight w:val="none"/>
        </w:rPr>
        <w:t>：</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）投标文件中的投标函未加盖投标人的企业及企业法定代表人印章或签字的，或者企业法定代表人委托代理人没有合法、有效的委托书（原件）及委托代理人印章或签字的；</w:t>
      </w:r>
      <w:bookmarkStart w:id="31" w:name="_Toc329097743"/>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2）未按规定的格式填写，内容不全或关键字迹模糊、无法辨认的；</w:t>
      </w:r>
      <w:r>
        <w:rPr>
          <w:rFonts w:hint="eastAsia" w:ascii="宋体" w:hAnsi="宋体" w:eastAsia="宋体"/>
          <w:sz w:val="24"/>
          <w:szCs w:val="24"/>
          <w:highlight w:val="none"/>
        </w:rPr>
        <w:t>、</w:t>
      </w:r>
    </w:p>
    <w:p>
      <w:pPr>
        <w:tabs>
          <w:tab w:val="left" w:pos="0"/>
          <w:tab w:val="left" w:pos="1134"/>
        </w:tabs>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3）投标人递交两份或多份内容不同的投标文件，或在一份投标文件中对同一招标项目报有两个或多个报价，且未声明哪一个有效，按招标文件规定提交备选投标方案的除外</w:t>
      </w:r>
      <w:r>
        <w:rPr>
          <w:rFonts w:hint="eastAsia" w:ascii="宋体" w:hAnsi="宋体" w:eastAsia="宋体"/>
          <w:sz w:val="24"/>
          <w:szCs w:val="24"/>
          <w:highlight w:val="none"/>
        </w:rPr>
        <w:t>。</w:t>
      </w:r>
    </w:p>
    <w:p>
      <w:pPr>
        <w:pStyle w:val="4"/>
        <w:spacing w:before="360" w:after="120" w:line="360" w:lineRule="auto"/>
        <w:rPr>
          <w:rFonts w:ascii="宋体" w:hAnsi="宋体" w:eastAsia="宋体"/>
          <w:snapToGrid w:val="0"/>
          <w:sz w:val="28"/>
          <w:szCs w:val="28"/>
          <w:highlight w:val="none"/>
        </w:rPr>
      </w:pPr>
      <w:bookmarkStart w:id="32" w:name="_Toc26669"/>
      <w:r>
        <w:rPr>
          <w:rFonts w:hint="eastAsia" w:ascii="宋体" w:hAnsi="宋体" w:eastAsia="宋体"/>
          <w:snapToGrid w:val="0"/>
          <w:sz w:val="28"/>
          <w:szCs w:val="28"/>
          <w:highlight w:val="none"/>
        </w:rPr>
        <w:t>七、评</w:t>
      </w:r>
      <w:r>
        <w:rPr>
          <w:rFonts w:ascii="宋体" w:hAnsi="宋体" w:eastAsia="宋体"/>
          <w:snapToGrid w:val="0"/>
          <w:sz w:val="28"/>
          <w:szCs w:val="28"/>
          <w:highlight w:val="none"/>
        </w:rPr>
        <w:t xml:space="preserve">    </w:t>
      </w:r>
      <w:r>
        <w:rPr>
          <w:rFonts w:hint="eastAsia" w:ascii="宋体" w:hAnsi="宋体" w:eastAsia="宋体"/>
          <w:snapToGrid w:val="0"/>
          <w:sz w:val="28"/>
          <w:szCs w:val="28"/>
          <w:highlight w:val="none"/>
        </w:rPr>
        <w:t>标</w:t>
      </w:r>
      <w:bookmarkEnd w:id="31"/>
      <w:bookmarkEnd w:id="32"/>
      <w:bookmarkStart w:id="33" w:name="_Toc329097744"/>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（十六）评标</w:t>
      </w:r>
      <w:bookmarkEnd w:id="33"/>
    </w:p>
    <w:p>
      <w:pPr>
        <w:adjustRightInd w:val="0"/>
        <w:snapToGrid w:val="0"/>
        <w:spacing w:line="500" w:lineRule="exact"/>
        <w:ind w:firstLine="470" w:firstLineChars="196"/>
        <w:rPr>
          <w:rFonts w:ascii="宋体" w:hAnsi="宋体" w:eastAsia="宋体"/>
          <w:sz w:val="24"/>
          <w:szCs w:val="24"/>
          <w:highlight w:val="none"/>
        </w:rPr>
      </w:pPr>
      <w:bookmarkStart w:id="34" w:name="_Toc291253263"/>
      <w:bookmarkStart w:id="35" w:name="_Toc232567428"/>
      <w:bookmarkStart w:id="36" w:name="_Toc224554231"/>
      <w:bookmarkStart w:id="37" w:name="_Toc291172139"/>
      <w:r>
        <w:rPr>
          <w:rFonts w:ascii="宋体" w:hAnsi="宋体" w:eastAsia="宋体"/>
          <w:sz w:val="24"/>
          <w:szCs w:val="24"/>
          <w:highlight w:val="none"/>
        </w:rPr>
        <w:t>1</w:t>
      </w:r>
      <w:r>
        <w:rPr>
          <w:rFonts w:hint="eastAsia" w:ascii="宋体" w:hAnsi="宋体" w:eastAsia="宋体"/>
          <w:sz w:val="24"/>
          <w:szCs w:val="24"/>
          <w:highlight w:val="none"/>
        </w:rPr>
        <w:t>、</w:t>
      </w:r>
      <w:bookmarkEnd w:id="34"/>
      <w:bookmarkEnd w:id="35"/>
      <w:bookmarkEnd w:id="36"/>
      <w:bookmarkEnd w:id="37"/>
      <w:r>
        <w:rPr>
          <w:rFonts w:hint="eastAsia" w:ascii="宋体" w:hAnsi="宋体" w:eastAsia="宋体"/>
          <w:sz w:val="24"/>
          <w:szCs w:val="24"/>
          <w:highlight w:val="none"/>
        </w:rPr>
        <w:t>评标工作</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（1）评标工作由招标人组织进行。</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（2）评标委员会由招标人负责组建，评标委员会的专家成员将聘请有关技术经济方面的专家。</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2、</w:t>
      </w:r>
      <w:r>
        <w:rPr>
          <w:rFonts w:ascii="宋体" w:hAnsi="宋体" w:eastAsia="宋体"/>
          <w:snapToGrid w:val="0"/>
          <w:sz w:val="24"/>
          <w:szCs w:val="24"/>
          <w:highlight w:val="none"/>
        </w:rPr>
        <w:t>本工程采用下列第（2）种方式进行评标。</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w:t>
      </w:r>
      <w:r>
        <w:rPr>
          <w:rFonts w:ascii="宋体" w:hAnsi="宋体" w:eastAsia="宋体"/>
          <w:snapToGrid w:val="0"/>
          <w:sz w:val="24"/>
          <w:szCs w:val="24"/>
          <w:highlight w:val="none"/>
        </w:rPr>
        <w:t>1）经评审的最低投标价法：是指在投标文件能够满足招标文件实质性要求的投标人中，评审出投标价格最低的投标人，但投标价格低于其企业成本的除外。</w:t>
      </w:r>
    </w:p>
    <w:p>
      <w:pPr>
        <w:tabs>
          <w:tab w:val="left" w:pos="0"/>
          <w:tab w:val="left" w:pos="1134"/>
        </w:tabs>
        <w:adjustRightInd w:val="0"/>
        <w:snapToGrid w:val="0"/>
        <w:spacing w:line="500" w:lineRule="exact"/>
        <w:ind w:firstLine="482" w:firstLineChars="200"/>
        <w:jc w:val="both"/>
        <w:rPr>
          <w:rFonts w:ascii="宋体" w:hAnsi="宋体" w:eastAsia="宋体"/>
          <w:b/>
          <w:snapToGrid w:val="0"/>
          <w:sz w:val="24"/>
          <w:szCs w:val="24"/>
          <w:highlight w:val="none"/>
        </w:rPr>
      </w:pPr>
      <w:r>
        <w:rPr>
          <w:rFonts w:hint="eastAsia" w:ascii="宋体" w:hAnsi="宋体" w:eastAsia="宋体"/>
          <w:b/>
          <w:snapToGrid w:val="0"/>
          <w:sz w:val="24"/>
          <w:szCs w:val="24"/>
          <w:highlight w:val="none"/>
        </w:rPr>
        <w:t>（</w:t>
      </w:r>
      <w:r>
        <w:rPr>
          <w:rFonts w:ascii="宋体" w:hAnsi="宋体" w:eastAsia="宋体"/>
          <w:b/>
          <w:snapToGrid w:val="0"/>
          <w:sz w:val="24"/>
          <w:szCs w:val="24"/>
          <w:highlight w:val="none"/>
        </w:rPr>
        <w:t>2）综合评分法：是指对投标文件提出的工程质量、施工工期、投标价格、施工组织设计或者施工方案等，能否最大限度地满足招标文件中规定的各项要求和评价标准进行评审和比较，择优选定中标单位。</w:t>
      </w:r>
    </w:p>
    <w:p>
      <w:pPr>
        <w:tabs>
          <w:tab w:val="left" w:pos="0"/>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具体采用：见投标须知附页</w:t>
      </w:r>
    </w:p>
    <w:p>
      <w:pPr>
        <w:adjustRightInd w:val="0"/>
        <w:snapToGrid w:val="0"/>
        <w:spacing w:line="500" w:lineRule="exact"/>
        <w:ind w:firstLine="470" w:firstLineChars="196"/>
        <w:rPr>
          <w:rFonts w:ascii="宋体" w:hAnsi="宋体" w:eastAsia="宋体"/>
          <w:sz w:val="24"/>
          <w:szCs w:val="24"/>
          <w:highlight w:val="none"/>
        </w:rPr>
      </w:pPr>
      <w:bookmarkStart w:id="38" w:name="_Toc224554232"/>
      <w:bookmarkStart w:id="39" w:name="_Toc232567429"/>
      <w:bookmarkStart w:id="40" w:name="_Toc291253264"/>
      <w:bookmarkStart w:id="41" w:name="_Toc291172140"/>
      <w:r>
        <w:rPr>
          <w:rFonts w:ascii="宋体" w:hAnsi="宋体" w:eastAsia="宋体"/>
          <w:sz w:val="24"/>
          <w:szCs w:val="24"/>
          <w:highlight w:val="none"/>
        </w:rPr>
        <w:t>2</w:t>
      </w:r>
      <w:r>
        <w:rPr>
          <w:rFonts w:hint="eastAsia" w:ascii="宋体" w:hAnsi="宋体" w:eastAsia="宋体"/>
          <w:sz w:val="24"/>
          <w:szCs w:val="24"/>
          <w:highlight w:val="none"/>
        </w:rPr>
        <w:t>、评标程序</w:t>
      </w:r>
      <w:bookmarkEnd w:id="38"/>
      <w:bookmarkEnd w:id="39"/>
      <w:bookmarkEnd w:id="40"/>
      <w:bookmarkEnd w:id="41"/>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）按招标文件规定对资格审查资料进行符合性和完整性审查；</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）按本章评分细则对投标文件进行评审；</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）向招标人推选三个中标候选人。</w:t>
      </w:r>
      <w:bookmarkStart w:id="42" w:name="_Toc291253265"/>
      <w:bookmarkStart w:id="43" w:name="_Toc291172141"/>
    </w:p>
    <w:p>
      <w:pPr>
        <w:adjustRightInd w:val="0"/>
        <w:snapToGrid w:val="0"/>
        <w:spacing w:line="500" w:lineRule="exact"/>
        <w:ind w:firstLine="470" w:firstLineChars="196"/>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、符合性与完整性审查</w:t>
      </w:r>
      <w:bookmarkEnd w:id="42"/>
      <w:bookmarkEnd w:id="43"/>
    </w:p>
    <w:p>
      <w:pPr>
        <w:adjustRightInd w:val="0"/>
        <w:snapToGrid w:val="0"/>
        <w:spacing w:line="500" w:lineRule="exact"/>
        <w:ind w:firstLine="470" w:firstLineChars="196"/>
        <w:rPr>
          <w:rFonts w:ascii="宋体" w:hAnsi="宋体" w:eastAsia="宋体"/>
          <w:b/>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w:t>
      </w:r>
      <w:r>
        <w:rPr>
          <w:rFonts w:hint="eastAsia" w:ascii="宋体" w:hAnsi="宋体" w:eastAsia="宋体"/>
          <w:bCs/>
          <w:sz w:val="24"/>
          <w:szCs w:val="24"/>
          <w:highlight w:val="none"/>
        </w:rPr>
        <w:t>通过对其投标文件进行符合性与完整性审查。</w:t>
      </w:r>
    </w:p>
    <w:p>
      <w:pPr>
        <w:tabs>
          <w:tab w:val="left" w:pos="0"/>
        </w:tabs>
        <w:adjustRightInd w:val="0"/>
        <w:snapToGrid w:val="0"/>
        <w:spacing w:line="5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未通过符合性与完整性评审的投标文件将被视为实质上不响应招标文件的有关规定，评标委员会将不再进行评审。</w:t>
      </w:r>
    </w:p>
    <w:p>
      <w:pPr>
        <w:adjustRightInd w:val="0"/>
        <w:snapToGrid w:val="0"/>
        <w:spacing w:line="500" w:lineRule="exact"/>
        <w:ind w:firstLine="470" w:firstLineChars="196"/>
        <w:rPr>
          <w:rFonts w:ascii="宋体" w:hAnsi="宋体" w:eastAsia="宋体"/>
          <w:b/>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w:t>
      </w:r>
      <w:r>
        <w:rPr>
          <w:rFonts w:hint="eastAsia" w:ascii="宋体" w:hAnsi="宋体" w:eastAsia="宋体"/>
          <w:bCs/>
          <w:sz w:val="24"/>
          <w:szCs w:val="24"/>
          <w:highlight w:val="none"/>
        </w:rPr>
        <w:t>投标文件中存在下述情况之一的，该投标人投标文件将的符合性与完整性审查将被不予通过：</w:t>
      </w:r>
    </w:p>
    <w:p>
      <w:pPr>
        <w:adjustRightInd w:val="0"/>
        <w:snapToGrid w:val="0"/>
        <w:spacing w:line="5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fldChar w:fldCharType="begin"/>
      </w:r>
      <w:r>
        <w:rPr>
          <w:rFonts w:ascii="宋体" w:hAnsi="宋体" w:eastAsia="宋体"/>
          <w:bCs/>
          <w:sz w:val="24"/>
          <w:szCs w:val="24"/>
          <w:highlight w:val="none"/>
        </w:rPr>
        <w:instrText xml:space="preserve"> </w:instrText>
      </w:r>
      <w:r>
        <w:rPr>
          <w:rFonts w:hint="eastAsia" w:ascii="宋体" w:hAnsi="宋体" w:eastAsia="宋体"/>
          <w:bCs/>
          <w:sz w:val="24"/>
          <w:szCs w:val="24"/>
          <w:highlight w:val="none"/>
        </w:rPr>
        <w:instrText xml:space="preserve">= 1 \* GB3</w:instrText>
      </w:r>
      <w:r>
        <w:rPr>
          <w:rFonts w:ascii="宋体" w:hAnsi="宋体" w:eastAsia="宋体"/>
          <w:bCs/>
          <w:sz w:val="24"/>
          <w:szCs w:val="24"/>
          <w:highlight w:val="none"/>
        </w:rPr>
        <w:instrText xml:space="preserve"> </w:instrText>
      </w:r>
      <w:r>
        <w:rPr>
          <w:rFonts w:ascii="宋体" w:hAnsi="宋体" w:eastAsia="宋体"/>
          <w:bCs/>
          <w:sz w:val="24"/>
          <w:szCs w:val="24"/>
          <w:highlight w:val="none"/>
        </w:rPr>
        <w:fldChar w:fldCharType="separate"/>
      </w:r>
      <w:r>
        <w:rPr>
          <w:rFonts w:hint="eastAsia" w:ascii="宋体" w:hAnsi="宋体" w:eastAsia="宋体"/>
          <w:bCs/>
          <w:sz w:val="24"/>
          <w:szCs w:val="24"/>
          <w:highlight w:val="none"/>
        </w:rPr>
        <w:t>①</w:t>
      </w:r>
      <w:r>
        <w:rPr>
          <w:rFonts w:ascii="宋体" w:hAnsi="宋体" w:eastAsia="宋体"/>
          <w:bCs/>
          <w:sz w:val="24"/>
          <w:szCs w:val="24"/>
          <w:highlight w:val="none"/>
        </w:rPr>
        <w:fldChar w:fldCharType="end"/>
      </w:r>
      <w:r>
        <w:rPr>
          <w:rFonts w:hint="eastAsia" w:ascii="宋体" w:hAnsi="宋体" w:eastAsia="宋体"/>
          <w:bCs/>
          <w:sz w:val="24"/>
          <w:szCs w:val="24"/>
          <w:highlight w:val="none"/>
        </w:rPr>
        <w:t>投标文件的主要组成、主要格式等不符合招标文件规定；</w:t>
      </w:r>
    </w:p>
    <w:p>
      <w:pPr>
        <w:tabs>
          <w:tab w:val="left" w:pos="1620"/>
        </w:tabs>
        <w:adjustRightInd w:val="0"/>
        <w:snapToGrid w:val="0"/>
        <w:spacing w:line="500" w:lineRule="exact"/>
        <w:ind w:firstLine="480" w:firstLineChars="200"/>
        <w:rPr>
          <w:rFonts w:ascii="宋体" w:hAnsi="宋体" w:eastAsia="宋体"/>
          <w:b/>
          <w:sz w:val="24"/>
          <w:szCs w:val="24"/>
          <w:highlight w:val="none"/>
        </w:rPr>
      </w:pPr>
      <w:r>
        <w:rPr>
          <w:rFonts w:ascii="宋体" w:hAnsi="宋体" w:eastAsia="宋体"/>
          <w:bCs/>
          <w:sz w:val="24"/>
          <w:szCs w:val="24"/>
          <w:highlight w:val="none"/>
        </w:rPr>
        <w:fldChar w:fldCharType="begin"/>
      </w:r>
      <w:r>
        <w:rPr>
          <w:rFonts w:ascii="宋体" w:hAnsi="宋体" w:eastAsia="宋体"/>
          <w:bCs/>
          <w:sz w:val="24"/>
          <w:szCs w:val="24"/>
          <w:highlight w:val="none"/>
        </w:rPr>
        <w:instrText xml:space="preserve"> </w:instrText>
      </w:r>
      <w:r>
        <w:rPr>
          <w:rFonts w:hint="eastAsia" w:ascii="宋体" w:hAnsi="宋体" w:eastAsia="宋体"/>
          <w:bCs/>
          <w:sz w:val="24"/>
          <w:szCs w:val="24"/>
          <w:highlight w:val="none"/>
        </w:rPr>
        <w:instrText xml:space="preserve">= 2 \* GB3</w:instrText>
      </w:r>
      <w:r>
        <w:rPr>
          <w:rFonts w:ascii="宋体" w:hAnsi="宋体" w:eastAsia="宋体"/>
          <w:bCs/>
          <w:sz w:val="24"/>
          <w:szCs w:val="24"/>
          <w:highlight w:val="none"/>
        </w:rPr>
        <w:instrText xml:space="preserve"> </w:instrText>
      </w:r>
      <w:r>
        <w:rPr>
          <w:rFonts w:ascii="宋体" w:hAnsi="宋体" w:eastAsia="宋体"/>
          <w:bCs/>
          <w:sz w:val="24"/>
          <w:szCs w:val="24"/>
          <w:highlight w:val="none"/>
        </w:rPr>
        <w:fldChar w:fldCharType="separate"/>
      </w:r>
      <w:r>
        <w:rPr>
          <w:rFonts w:hint="eastAsia" w:ascii="宋体" w:hAnsi="宋体" w:eastAsia="宋体"/>
          <w:bCs/>
          <w:sz w:val="24"/>
          <w:szCs w:val="24"/>
          <w:highlight w:val="none"/>
        </w:rPr>
        <w:t>②</w:t>
      </w:r>
      <w:r>
        <w:rPr>
          <w:rFonts w:ascii="宋体" w:hAnsi="宋体" w:eastAsia="宋体"/>
          <w:bCs/>
          <w:sz w:val="24"/>
          <w:szCs w:val="24"/>
          <w:highlight w:val="none"/>
        </w:rPr>
        <w:fldChar w:fldCharType="end"/>
      </w:r>
      <w:r>
        <w:rPr>
          <w:rFonts w:hint="eastAsia" w:ascii="宋体" w:hAnsi="宋体" w:eastAsia="宋体"/>
          <w:bCs/>
          <w:sz w:val="24"/>
          <w:szCs w:val="24"/>
          <w:highlight w:val="none"/>
        </w:rPr>
        <w:t>投标文件内容与招标文件的有关要求存在重大差异。</w:t>
      </w:r>
    </w:p>
    <w:p>
      <w:pPr>
        <w:adjustRightInd w:val="0"/>
        <w:snapToGrid w:val="0"/>
        <w:spacing w:line="500" w:lineRule="exact"/>
        <w:ind w:firstLine="482" w:firstLineChars="200"/>
        <w:jc w:val="both"/>
        <w:rPr>
          <w:rFonts w:ascii="宋体" w:hAnsi="宋体" w:eastAsia="宋体"/>
          <w:b/>
          <w:sz w:val="24"/>
          <w:szCs w:val="24"/>
          <w:highlight w:val="none"/>
        </w:rPr>
      </w:pPr>
      <w:bookmarkStart w:id="44" w:name="_Toc329097745"/>
      <w:r>
        <w:rPr>
          <w:rFonts w:hint="eastAsia" w:ascii="宋体" w:hAnsi="宋体" w:eastAsia="宋体"/>
          <w:b/>
          <w:sz w:val="24"/>
          <w:szCs w:val="24"/>
          <w:highlight w:val="none"/>
        </w:rPr>
        <w:t>（十七）投标文件的澄清</w:t>
      </w:r>
      <w:bookmarkEnd w:id="44"/>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pPr>
        <w:adjustRightInd w:val="0"/>
        <w:snapToGrid w:val="0"/>
        <w:spacing w:line="500" w:lineRule="exact"/>
        <w:ind w:firstLine="482" w:firstLineChars="200"/>
        <w:jc w:val="both"/>
        <w:rPr>
          <w:rFonts w:ascii="宋体" w:hAnsi="宋体" w:eastAsia="宋体"/>
          <w:sz w:val="24"/>
          <w:szCs w:val="24"/>
          <w:highlight w:val="none"/>
        </w:rPr>
      </w:pPr>
      <w:r>
        <w:rPr>
          <w:rFonts w:hint="eastAsia" w:ascii="宋体" w:hAnsi="宋体" w:eastAsia="宋体"/>
          <w:b/>
          <w:sz w:val="24"/>
          <w:szCs w:val="24"/>
          <w:highlight w:val="none"/>
        </w:rPr>
        <w:t>（十八）在评标过程中</w:t>
      </w:r>
      <w:r>
        <w:rPr>
          <w:rFonts w:hint="eastAsia" w:ascii="宋体" w:hAnsi="宋体" w:eastAsia="宋体"/>
          <w:sz w:val="24"/>
          <w:szCs w:val="24"/>
          <w:highlight w:val="none"/>
        </w:rPr>
        <w:t>，评标委员会若发现投标人以他人的名义投标、串通投标、以行贿手段谋取中标或者以其他弄虚作假方式投标的，该投标人的投标将作废标处理。</w:t>
      </w:r>
    </w:p>
    <w:p>
      <w:pPr>
        <w:adjustRightInd w:val="0"/>
        <w:snapToGrid w:val="0"/>
        <w:spacing w:line="500" w:lineRule="exact"/>
        <w:ind w:firstLine="482" w:firstLineChars="200"/>
        <w:jc w:val="both"/>
        <w:rPr>
          <w:rFonts w:ascii="宋体" w:hAnsi="宋体" w:eastAsia="宋体"/>
          <w:sz w:val="24"/>
          <w:szCs w:val="24"/>
          <w:highlight w:val="none"/>
        </w:rPr>
      </w:pPr>
      <w:r>
        <w:rPr>
          <w:rFonts w:hint="eastAsia" w:ascii="宋体" w:hAnsi="宋体" w:eastAsia="宋体"/>
          <w:b/>
          <w:sz w:val="24"/>
          <w:szCs w:val="24"/>
          <w:highlight w:val="none"/>
        </w:rPr>
        <w:t>（十九）</w:t>
      </w:r>
      <w:r>
        <w:rPr>
          <w:rFonts w:hint="eastAsia" w:ascii="宋体" w:hAnsi="宋体" w:eastAsia="宋体"/>
          <w:sz w:val="24"/>
          <w:szCs w:val="24"/>
          <w:highlight w:val="none"/>
        </w:rPr>
        <w:t>投标人资格条件不符合国家有关规定和招标文件要求的，或者拒不按照要求对投标文件进行澄清、说明或者补正的，评标委员会可以否决其投标。</w:t>
      </w:r>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（二十）</w:t>
      </w:r>
      <w:r>
        <w:rPr>
          <w:rFonts w:hint="eastAsia" w:ascii="宋体" w:hAnsi="宋体" w:eastAsia="宋体"/>
          <w:sz w:val="24"/>
          <w:szCs w:val="24"/>
          <w:highlight w:val="none"/>
        </w:rPr>
        <w:t>评标委员会将审查每一投标文件是否对招标文件提出的所有实质性要求和条件作出响应。未能在实质上响应的投标，将否决其投标。</w:t>
      </w:r>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（二十一）投标文件有下列情况之一的，评标委员会应当否决其投标：</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、投标文件未经投标单位盖章和单位负责人签字或盖章的；</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、投标报价低于成本，或者高于招标文件设定的最高投标限价；</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、未响应招标文件的实质性要求和条件；</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、不符合国家或者招标文件规定的资格条件；</w:t>
      </w:r>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、项目的完成期限不满足招标文件要求；</w:t>
      </w:r>
    </w:p>
    <w:p>
      <w:pPr>
        <w:adjustRightInd w:val="0"/>
        <w:snapToGrid w:val="0"/>
        <w:spacing w:line="500" w:lineRule="exact"/>
        <w:ind w:firstLine="480" w:firstLineChars="200"/>
        <w:jc w:val="both"/>
        <w:rPr>
          <w:rFonts w:ascii="宋体" w:hAnsi="宋体" w:eastAsia="宋体"/>
          <w:b/>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与招标文件规定的暂估价、暂列金额及甲供材料价格不一致的；</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改变招标文件提供的</w:t>
      </w:r>
      <w:r>
        <w:rPr>
          <w:rFonts w:hint="eastAsia" w:ascii="宋体" w:hAnsi="宋体" w:eastAsia="宋体"/>
          <w:sz w:val="24"/>
          <w:szCs w:val="24"/>
          <w:highlight w:val="none"/>
        </w:rPr>
        <w:t>招标</w:t>
      </w:r>
      <w:r>
        <w:rPr>
          <w:rFonts w:ascii="宋体" w:hAnsi="宋体" w:eastAsia="宋体"/>
          <w:sz w:val="24"/>
          <w:szCs w:val="24"/>
          <w:highlight w:val="none"/>
        </w:rPr>
        <w:t>清单中的计量单位、数量</w:t>
      </w:r>
      <w:r>
        <w:rPr>
          <w:rFonts w:hint="eastAsia" w:ascii="宋体" w:hAnsi="宋体" w:eastAsia="宋体"/>
          <w:sz w:val="24"/>
          <w:szCs w:val="24"/>
          <w:highlight w:val="none"/>
        </w:rPr>
        <w:t>的</w:t>
      </w:r>
      <w:r>
        <w:rPr>
          <w:rFonts w:ascii="宋体" w:hAnsi="宋体" w:eastAsia="宋体"/>
          <w:sz w:val="24"/>
          <w:szCs w:val="24"/>
          <w:highlight w:val="none"/>
        </w:rPr>
        <w:t>；</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与招标文件明确列出的不可竞争费用项目或费率或计算基础不一致的；</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 xml:space="preserve">投标文件载明的货物包装方式、检验标准和方法等不符合招标文件的要求的； </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投标文件提出了不能满足招标文件要求或招标人不能接受的工程验收、计量、价款结算和支付办法的；</w:t>
      </w:r>
    </w:p>
    <w:p>
      <w:pPr>
        <w:adjustRightInd w:val="0"/>
        <w:snapToGrid w:val="0"/>
        <w:spacing w:line="500" w:lineRule="exact"/>
        <w:ind w:firstLine="482" w:firstLineChars="200"/>
        <w:jc w:val="both"/>
        <w:rPr>
          <w:rFonts w:ascii="宋体" w:hAnsi="宋体" w:eastAsia="宋体"/>
          <w:b/>
          <w:sz w:val="24"/>
          <w:szCs w:val="24"/>
          <w:highlight w:val="none"/>
        </w:rPr>
      </w:pPr>
      <w:r>
        <w:rPr>
          <w:rFonts w:hint="eastAsia" w:ascii="宋体" w:hAnsi="宋体" w:eastAsia="宋体"/>
          <w:b/>
          <w:sz w:val="24"/>
          <w:szCs w:val="24"/>
          <w:highlight w:val="none"/>
        </w:rPr>
        <w:t>11、</w:t>
      </w:r>
      <w:r>
        <w:rPr>
          <w:rFonts w:ascii="宋体" w:hAnsi="宋体" w:eastAsia="宋体"/>
          <w:b/>
          <w:sz w:val="24"/>
          <w:szCs w:val="24"/>
          <w:highlight w:val="none"/>
        </w:rPr>
        <w:t>投标人拟采购的主要材料未提供品牌、规格、型号、厂家且未选用招标人指定材料品牌，且投标人选用的材料品牌招标人不能接受的；</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12、与其他投标人或者与招标人串通投标；</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13、以他人名义投标，或者以其他方式弄虚作假；</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14、以向招标人或者评标委员会成员行贿的手段谋取中标；</w:t>
      </w:r>
    </w:p>
    <w:p>
      <w:pPr>
        <w:adjustRightInd w:val="0"/>
        <w:snapToGrid w:val="0"/>
        <w:spacing w:line="500" w:lineRule="exact"/>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15、提交两个以上不同的投标文件或者投标报价，但招标文件要求提交备选投标的除外。</w:t>
      </w:r>
    </w:p>
    <w:p>
      <w:pPr>
        <w:adjustRightInd w:val="0"/>
        <w:snapToGrid w:val="0"/>
        <w:spacing w:line="500" w:lineRule="exact"/>
        <w:ind w:firstLine="482" w:firstLineChars="200"/>
        <w:jc w:val="both"/>
        <w:rPr>
          <w:rFonts w:ascii="宋体" w:hAnsi="宋体" w:eastAsia="宋体"/>
          <w:b/>
          <w:bCs/>
          <w:sz w:val="24"/>
          <w:szCs w:val="24"/>
          <w:highlight w:val="none"/>
        </w:rPr>
      </w:pPr>
      <w:r>
        <w:rPr>
          <w:rFonts w:hint="eastAsia" w:ascii="宋体" w:hAnsi="宋体" w:eastAsia="宋体"/>
          <w:b/>
          <w:bCs/>
          <w:sz w:val="24"/>
          <w:szCs w:val="24"/>
          <w:highlight w:val="none"/>
        </w:rPr>
        <w:t>评标委员会根据规定否决不合格投标或者界定为废标后，因有效投标不足三个使得投标明显缺乏竞争的，评标委员会可以否决全部投标。所有投标被否决的，招标人依法重新招标。</w:t>
      </w:r>
    </w:p>
    <w:p>
      <w:pPr>
        <w:adjustRightInd w:val="0"/>
        <w:snapToGrid w:val="0"/>
        <w:spacing w:line="500" w:lineRule="exact"/>
        <w:ind w:firstLine="482" w:firstLineChars="200"/>
        <w:jc w:val="both"/>
        <w:rPr>
          <w:rFonts w:ascii="宋体" w:hAnsi="宋体" w:eastAsia="宋体"/>
          <w:spacing w:val="-4"/>
          <w:sz w:val="24"/>
          <w:szCs w:val="24"/>
          <w:highlight w:val="none"/>
        </w:rPr>
      </w:pPr>
      <w:r>
        <w:rPr>
          <w:rFonts w:hint="eastAsia" w:ascii="宋体" w:hAnsi="宋体" w:eastAsia="宋体"/>
          <w:b/>
          <w:sz w:val="24"/>
          <w:szCs w:val="24"/>
          <w:highlight w:val="none"/>
        </w:rPr>
        <w:t>（二十二）</w:t>
      </w:r>
      <w:r>
        <w:rPr>
          <w:rFonts w:hint="eastAsia" w:ascii="宋体" w:hAnsi="宋体" w:eastAsia="宋体"/>
          <w:spacing w:val="-4"/>
          <w:sz w:val="24"/>
          <w:szCs w:val="24"/>
          <w:highlight w:val="none"/>
        </w:rPr>
        <w:t>评标和定标将在投标有效期结束日</w:t>
      </w:r>
      <w:r>
        <w:rPr>
          <w:rFonts w:ascii="宋体" w:hAnsi="宋体" w:eastAsia="宋体"/>
          <w:spacing w:val="-4"/>
          <w:sz w:val="24"/>
          <w:szCs w:val="24"/>
          <w:highlight w:val="none"/>
        </w:rPr>
        <w:t>30</w:t>
      </w:r>
      <w:r>
        <w:rPr>
          <w:rFonts w:hint="eastAsia" w:ascii="宋体" w:hAnsi="宋体" w:eastAsia="宋体"/>
          <w:spacing w:val="-4"/>
          <w:sz w:val="24"/>
          <w:szCs w:val="24"/>
          <w:highlight w:val="none"/>
        </w:rPr>
        <w:t>个工作日前完成。不能在投标有效期结束日</w:t>
      </w:r>
      <w:r>
        <w:rPr>
          <w:rFonts w:ascii="宋体" w:hAnsi="宋体" w:eastAsia="宋体"/>
          <w:spacing w:val="-4"/>
          <w:sz w:val="24"/>
          <w:szCs w:val="24"/>
          <w:highlight w:val="none"/>
        </w:rPr>
        <w:t>30</w:t>
      </w:r>
      <w:r>
        <w:rPr>
          <w:rFonts w:hint="eastAsia" w:ascii="宋体" w:hAnsi="宋体" w:eastAsia="宋体"/>
          <w:spacing w:val="-4"/>
          <w:sz w:val="24"/>
          <w:szCs w:val="24"/>
          <w:highlight w:val="none"/>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pPr>
        <w:pStyle w:val="4"/>
        <w:spacing w:before="360" w:after="120" w:line="360" w:lineRule="auto"/>
        <w:rPr>
          <w:rFonts w:ascii="宋体" w:hAnsi="宋体" w:eastAsia="宋体"/>
          <w:snapToGrid w:val="0"/>
          <w:sz w:val="28"/>
          <w:szCs w:val="28"/>
          <w:highlight w:val="none"/>
        </w:rPr>
      </w:pPr>
      <w:bookmarkStart w:id="45" w:name="_Toc5327"/>
      <w:bookmarkStart w:id="46" w:name="_Toc329097746"/>
      <w:r>
        <w:rPr>
          <w:rFonts w:hint="eastAsia" w:ascii="宋体" w:hAnsi="宋体" w:eastAsia="宋体"/>
          <w:snapToGrid w:val="0"/>
          <w:sz w:val="28"/>
          <w:szCs w:val="28"/>
          <w:highlight w:val="none"/>
        </w:rPr>
        <w:t>八、授予合同</w:t>
      </w:r>
      <w:bookmarkEnd w:id="45"/>
      <w:bookmarkEnd w:id="46"/>
    </w:p>
    <w:p>
      <w:pPr>
        <w:adjustRightInd w:val="0"/>
        <w:snapToGrid w:val="0"/>
        <w:spacing w:line="500" w:lineRule="exact"/>
        <w:ind w:firstLine="482" w:firstLineChars="200"/>
        <w:jc w:val="both"/>
        <w:rPr>
          <w:rFonts w:ascii="宋体" w:hAnsi="宋体" w:eastAsia="宋体"/>
          <w:b/>
          <w:sz w:val="24"/>
          <w:szCs w:val="24"/>
          <w:highlight w:val="none"/>
        </w:rPr>
      </w:pPr>
      <w:bookmarkStart w:id="47" w:name="_Toc329097747"/>
      <w:r>
        <w:rPr>
          <w:rFonts w:hint="eastAsia" w:ascii="宋体" w:hAnsi="宋体" w:eastAsia="宋体"/>
          <w:b/>
          <w:sz w:val="24"/>
          <w:szCs w:val="24"/>
          <w:highlight w:val="none"/>
        </w:rPr>
        <w:t>（二十三）中标</w:t>
      </w:r>
      <w:bookmarkEnd w:id="47"/>
    </w:p>
    <w:p>
      <w:pPr>
        <w:adjustRightInd w:val="0"/>
        <w:snapToGrid w:val="0"/>
        <w:spacing w:line="500" w:lineRule="exact"/>
        <w:ind w:firstLine="480" w:firstLineChars="200"/>
        <w:jc w:val="both"/>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、确定中标单位后，招标人向中标单位发出中标通知书，并同时将中标结果通知所有未中标的投标人。中标通知书将成为合同的组成部分。</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排名第一的中标候选人放弃中标、因不可抗力提出不能履行合同，不按照招标文</w:t>
      </w:r>
      <w:r>
        <w:rPr>
          <w:rFonts w:hint="eastAsia" w:ascii="宋体" w:hAnsi="宋体" w:eastAsia="宋体"/>
          <w:snapToGrid w:val="0"/>
          <w:sz w:val="24"/>
          <w:szCs w:val="24"/>
          <w:highlight w:val="none"/>
        </w:rPr>
        <w:t>件要求提交履约保证金，或者被查实存在影响中标结果的违法行为等情形，不符合中标条件的，招标人可以按照评标委员会提出的中标候选人名单排序依次确定其他中标</w:t>
      </w:r>
      <w:r>
        <w:rPr>
          <w:rFonts w:hint="eastAsia" w:ascii="宋体" w:hAnsi="宋体" w:eastAsia="宋体"/>
          <w:sz w:val="24"/>
          <w:szCs w:val="24"/>
          <w:highlight w:val="none"/>
        </w:rPr>
        <w:t>候选人为中标人。依次确定其他中标候选人与招标人预期差距较大，或者对招标人明显不利的，招标人可以重新招标。</w:t>
      </w:r>
      <w:r>
        <w:rPr>
          <w:rFonts w:ascii="宋体" w:hAnsi="宋体" w:eastAsia="宋体"/>
          <w:sz w:val="24"/>
          <w:szCs w:val="24"/>
          <w:highlight w:val="none"/>
        </w:rPr>
        <w:t xml:space="preserve"> </w:t>
      </w:r>
    </w:p>
    <w:p>
      <w:pPr>
        <w:tabs>
          <w:tab w:val="left" w:pos="0"/>
          <w:tab w:val="left" w:pos="1002"/>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z w:val="24"/>
          <w:szCs w:val="24"/>
          <w:highlight w:val="none"/>
        </w:rPr>
        <w:t>2、中标人收到中标通知书后，应在</w:t>
      </w:r>
      <w:r>
        <w:rPr>
          <w:rFonts w:ascii="宋体" w:hAnsi="宋体" w:eastAsia="宋体"/>
          <w:sz w:val="24"/>
          <w:szCs w:val="24"/>
          <w:highlight w:val="none"/>
        </w:rPr>
        <w:t>30</w:t>
      </w:r>
      <w:r>
        <w:rPr>
          <w:rFonts w:hint="eastAsia" w:ascii="宋体" w:hAnsi="宋体" w:eastAsia="宋体"/>
          <w:sz w:val="24"/>
          <w:szCs w:val="24"/>
          <w:highlight w:val="none"/>
        </w:rPr>
        <w:t>日内与招标人签订施工合同。中标人不与招标人订立合同的，投标保证金不予退</w:t>
      </w:r>
      <w:r>
        <w:rPr>
          <w:rFonts w:hint="eastAsia" w:ascii="宋体" w:hAnsi="宋体" w:eastAsia="宋体"/>
          <w:snapToGrid w:val="0"/>
          <w:sz w:val="24"/>
          <w:szCs w:val="24"/>
          <w:highlight w:val="none"/>
        </w:rPr>
        <w:t>还并取消其中标资格，给招标人造成的损失超过投标保证金数额的，应当对超过部分予以赔偿。</w:t>
      </w:r>
    </w:p>
    <w:p>
      <w:pPr>
        <w:tabs>
          <w:tab w:val="left" w:pos="0"/>
          <w:tab w:val="left" w:pos="1002"/>
          <w:tab w:val="left" w:pos="1134"/>
        </w:tabs>
        <w:adjustRightInd w:val="0"/>
        <w:snapToGrid w:val="0"/>
        <w:spacing w:line="500" w:lineRule="exact"/>
        <w:ind w:firstLine="482" w:firstLineChars="200"/>
        <w:jc w:val="both"/>
        <w:rPr>
          <w:rFonts w:ascii="宋体" w:hAnsi="宋体" w:eastAsia="宋体"/>
          <w:b/>
          <w:snapToGrid w:val="0"/>
          <w:sz w:val="24"/>
          <w:szCs w:val="24"/>
          <w:highlight w:val="none"/>
        </w:rPr>
      </w:pPr>
      <w:bookmarkStart w:id="48" w:name="_Toc329097748"/>
      <w:r>
        <w:rPr>
          <w:rFonts w:hint="eastAsia" w:ascii="宋体" w:hAnsi="宋体" w:eastAsia="宋体"/>
          <w:b/>
          <w:snapToGrid w:val="0"/>
          <w:sz w:val="24"/>
          <w:szCs w:val="24"/>
          <w:highlight w:val="none"/>
        </w:rPr>
        <w:t>（二十四）合同签订</w:t>
      </w:r>
      <w:bookmarkEnd w:id="48"/>
    </w:p>
    <w:p>
      <w:pPr>
        <w:tabs>
          <w:tab w:val="left" w:pos="0"/>
          <w:tab w:val="left" w:pos="1002"/>
          <w:tab w:val="left" w:pos="1134"/>
        </w:tabs>
        <w:adjustRightInd w:val="0"/>
        <w:snapToGrid w:val="0"/>
        <w:spacing w:line="500" w:lineRule="exact"/>
        <w:ind w:firstLine="480" w:firstLineChars="200"/>
        <w:jc w:val="both"/>
        <w:rPr>
          <w:rFonts w:ascii="宋体" w:hAnsi="宋体" w:eastAsia="宋体"/>
          <w:snapToGrid w:val="0"/>
          <w:sz w:val="24"/>
          <w:szCs w:val="24"/>
          <w:highlight w:val="none"/>
        </w:rPr>
      </w:pPr>
      <w:r>
        <w:rPr>
          <w:rFonts w:hint="eastAsia" w:ascii="宋体" w:hAnsi="宋体" w:eastAsia="宋体"/>
          <w:snapToGrid w:val="0"/>
          <w:sz w:val="24"/>
          <w:szCs w:val="24"/>
          <w:highlight w:val="none"/>
        </w:rPr>
        <w:t>招标人与中标人将根据《中华人民共和国合同法》的规定，依据招标文件和投标文件签订施工合同。</w:t>
      </w:r>
    </w:p>
    <w:p>
      <w:pPr>
        <w:pStyle w:val="4"/>
        <w:snapToGrid w:val="0"/>
        <w:spacing w:before="0" w:after="0" w:line="360" w:lineRule="auto"/>
        <w:jc w:val="left"/>
        <w:rPr>
          <w:rFonts w:ascii="宋体" w:hAnsi="宋体" w:eastAsia="宋体"/>
          <w:b w:val="0"/>
          <w:snapToGrid w:val="0"/>
          <w:highlight w:val="none"/>
        </w:rPr>
      </w:pPr>
      <w:bookmarkStart w:id="49" w:name="_Toc329097751"/>
      <w:r>
        <w:rPr>
          <w:snapToGrid w:val="0"/>
          <w:highlight w:val="none"/>
        </w:rPr>
        <w:br w:type="page"/>
      </w:r>
      <w:bookmarkStart w:id="50" w:name="_Toc29883"/>
      <w:r>
        <w:rPr>
          <w:rFonts w:hint="eastAsia" w:ascii="宋体" w:hAnsi="宋体" w:eastAsia="宋体"/>
          <w:sz w:val="36"/>
          <w:szCs w:val="36"/>
          <w:highlight w:val="none"/>
        </w:rPr>
        <w:t>附件：评标办法（综合评估法）</w:t>
      </w:r>
      <w:bookmarkEnd w:id="50"/>
    </w:p>
    <w:p>
      <w:pPr>
        <w:pStyle w:val="21"/>
        <w:adjustRightInd w:val="0"/>
        <w:snapToGrid w:val="0"/>
        <w:spacing w:line="360" w:lineRule="auto"/>
        <w:ind w:firstLine="480" w:firstLineChars="200"/>
        <w:rPr>
          <w:rFonts w:hAnsi="宋体" w:eastAsia="宋体"/>
          <w:sz w:val="24"/>
          <w:highlight w:val="none"/>
        </w:rPr>
      </w:pPr>
    </w:p>
    <w:p>
      <w:pPr>
        <w:pStyle w:val="21"/>
        <w:adjustRightInd w:val="0"/>
        <w:snapToGrid w:val="0"/>
        <w:spacing w:line="360" w:lineRule="auto"/>
        <w:ind w:firstLine="480" w:firstLineChars="200"/>
        <w:rPr>
          <w:rFonts w:hAnsi="宋体" w:eastAsia="宋体"/>
          <w:sz w:val="24"/>
          <w:highlight w:val="none"/>
        </w:rPr>
      </w:pPr>
      <w:r>
        <w:rPr>
          <w:rFonts w:hint="eastAsia" w:hAnsi="宋体" w:eastAsia="宋体"/>
          <w:sz w:val="24"/>
          <w:highlight w:val="none"/>
        </w:rPr>
        <w:t>一、总则</w:t>
      </w:r>
    </w:p>
    <w:p>
      <w:pPr>
        <w:pStyle w:val="21"/>
        <w:adjustRightInd w:val="0"/>
        <w:snapToGrid w:val="0"/>
        <w:spacing w:line="360" w:lineRule="auto"/>
        <w:ind w:firstLine="480" w:firstLineChars="200"/>
        <w:rPr>
          <w:rFonts w:hAnsi="宋体" w:eastAsia="宋体"/>
          <w:sz w:val="24"/>
          <w:szCs w:val="24"/>
          <w:highlight w:val="none"/>
        </w:rPr>
      </w:pPr>
      <w:r>
        <w:rPr>
          <w:rFonts w:hint="eastAsia" w:hAnsi="宋体" w:eastAsia="宋体"/>
          <w:sz w:val="24"/>
          <w:szCs w:val="24"/>
          <w:highlight w:val="none"/>
        </w:rPr>
        <w:t>本次招标采用综合评分法，由评标委员会对各投标人的投标价格、施工组织设计进行评审和比较，以评分形式进行评估。本综合评分法采用百分制形式，具体分值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Pr>
          <w:rFonts w:hint="eastAsia" w:hAnsi="宋体" w:eastAsia="宋体"/>
          <w:b/>
          <w:bCs/>
          <w:sz w:val="24"/>
          <w:szCs w:val="24"/>
          <w:highlight w:val="none"/>
          <w:u w:val="single"/>
          <w:lang w:val="en-US" w:eastAsia="zh-CN"/>
        </w:rPr>
        <w:t>26.26</w:t>
      </w:r>
      <w:r>
        <w:rPr>
          <w:rFonts w:hint="eastAsia" w:hAnsi="宋体" w:eastAsia="宋体"/>
          <w:sz w:val="24"/>
          <w:szCs w:val="24"/>
          <w:highlight w:val="none"/>
        </w:rPr>
        <w:t xml:space="preserve">万元，超过或等于最高限价的投标报价，其投标将被拒绝。 </w:t>
      </w:r>
    </w:p>
    <w:p>
      <w:pPr>
        <w:pStyle w:val="21"/>
        <w:adjustRightInd w:val="0"/>
        <w:snapToGrid w:val="0"/>
        <w:spacing w:line="360" w:lineRule="auto"/>
        <w:ind w:firstLine="480" w:firstLineChars="200"/>
        <w:rPr>
          <w:rFonts w:hAnsi="宋体" w:eastAsia="宋体"/>
          <w:sz w:val="24"/>
          <w:szCs w:val="24"/>
          <w:highlight w:val="none"/>
        </w:rPr>
      </w:pPr>
    </w:p>
    <w:p>
      <w:pPr>
        <w:pStyle w:val="21"/>
        <w:adjustRightInd w:val="0"/>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二、评分细则</w:t>
      </w:r>
    </w:p>
    <w:tbl>
      <w:tblPr>
        <w:tblStyle w:val="40"/>
        <w:tblW w:w="9356"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5"/>
        <w:gridCol w:w="514"/>
        <w:gridCol w:w="2107"/>
        <w:gridCol w:w="606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18" w:hRule="atLeast"/>
          <w:tblHeader/>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hint="eastAsia" w:asciiTheme="minorEastAsia" w:hAnsiTheme="minorEastAsia" w:eastAsiaTheme="minorEastAsia"/>
                <w:highlight w:val="none"/>
              </w:rPr>
              <w:t>条款号</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hint="eastAsia" w:asciiTheme="minorEastAsia" w:hAnsiTheme="minorEastAsia" w:eastAsiaTheme="minorEastAsia"/>
                <w:highlight w:val="none"/>
              </w:rPr>
              <w:t>条款内容</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hint="eastAsia" w:asciiTheme="minorEastAsia" w:hAnsiTheme="minorEastAsia" w:eastAsiaTheme="minorEastAsia"/>
                <w:highlight w:val="none"/>
              </w:rPr>
              <w:t>编列内容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1</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分值构成</w:t>
            </w:r>
          </w:p>
          <w:p>
            <w:pPr>
              <w:spacing w:line="360" w:lineRule="auto"/>
              <w:jc w:val="both"/>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总分</w:t>
            </w:r>
            <w:r>
              <w:rPr>
                <w:rFonts w:asciiTheme="minorEastAsia" w:hAnsiTheme="minorEastAsia" w:eastAsiaTheme="minorEastAsia"/>
                <w:highlight w:val="none"/>
              </w:rPr>
              <w:t>100</w:t>
            </w:r>
            <w:r>
              <w:rPr>
                <w:rFonts w:hint="eastAsia" w:asciiTheme="minorEastAsia" w:hAnsiTheme="minorEastAsia" w:eastAsiaTheme="minorEastAsia"/>
                <w:highlight w:val="none"/>
              </w:rPr>
              <w:t>分</w:t>
            </w:r>
            <w:r>
              <w:rPr>
                <w:rFonts w:asciiTheme="minorEastAsia" w:hAnsiTheme="minorEastAsia" w:eastAsiaTheme="minorEastAsia"/>
                <w:highlight w:val="none"/>
              </w:rPr>
              <w:t>)</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）施工方案评分标准：10分</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（评标委员会根据投标文件中确定的评审要点，对投标文件的施工方案评分标准进行评分，除被评标委员会认定存在重大偏差外，投标文件的施工方案评分标准得分不应低于</w:t>
            </w:r>
            <w:r>
              <w:rPr>
                <w:rFonts w:asciiTheme="minorEastAsia" w:hAnsiTheme="minorEastAsia" w:eastAsiaTheme="minorEastAsia"/>
                <w:highlight w:val="none"/>
              </w:rPr>
              <w:t>70%</w:t>
            </w:r>
            <w:r>
              <w:rPr>
                <w:rFonts w:hint="eastAsia" w:asciiTheme="minorEastAsia" w:hAnsiTheme="minorEastAsia" w:eastAsiaTheme="minorEastAsia"/>
                <w:highlight w:val="none"/>
              </w:rPr>
              <w:t>。）</w:t>
            </w:r>
          </w:p>
          <w:p>
            <w:pPr>
              <w:spacing w:line="360" w:lineRule="auto"/>
              <w:jc w:val="both"/>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）投标报价：83分</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3）投标人业绩：1分</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4）投标材料的质量先进性、匹配性、可靠性、环保性、稳定性、等情况的评价：6分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2526" w:hRule="atLeast"/>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2</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评标基准价计算方法</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以有效投标文件的评标价算数平均值为A（若＜7家取全部有效投标人的算数平均值为A，若7≤有效投标〈10家时，去掉其中的一个最高价和一个最低价后取算数平均值为A；若有效投标文件≥10家时，去掉其中一个最高价、一个次高价和一个最低价、一个次低价后取算数平均值为A）</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 xml:space="preserve">评标基准价=A×K，K= 0.98。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556" w:hRule="atLeast"/>
        </w:trPr>
        <w:tc>
          <w:tcPr>
            <w:tcW w:w="1189"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3</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投标报价的偏差率</w:t>
            </w:r>
          </w:p>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计算公式</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偏差率</w:t>
            </w:r>
            <w:r>
              <w:rPr>
                <w:rFonts w:asciiTheme="minorEastAsia" w:hAnsiTheme="minorEastAsia" w:eastAsiaTheme="minorEastAsia"/>
                <w:highlight w:val="none"/>
              </w:rPr>
              <w:t>=100% ×</w:t>
            </w:r>
            <w:r>
              <w:rPr>
                <w:rFonts w:hint="eastAsia" w:asciiTheme="minorEastAsia" w:hAnsiTheme="minorEastAsia" w:eastAsiaTheme="minorEastAsia"/>
                <w:highlight w:val="none"/>
              </w:rPr>
              <w:t>（投标人报价</w:t>
            </w:r>
            <w:r>
              <w:rPr>
                <w:rFonts w:asciiTheme="minorEastAsia" w:hAnsiTheme="minorEastAsia" w:eastAsiaTheme="minorEastAsia"/>
                <w:highlight w:val="none"/>
              </w:rPr>
              <w:t xml:space="preserve"> - </w:t>
            </w:r>
            <w:r>
              <w:rPr>
                <w:rFonts w:hint="eastAsia" w:asciiTheme="minorEastAsia" w:hAnsiTheme="minorEastAsia" w:eastAsiaTheme="minorEastAsia"/>
                <w:highlight w:val="none"/>
              </w:rPr>
              <w:t>评标基准价）</w:t>
            </w:r>
            <w:r>
              <w:rPr>
                <w:rFonts w:asciiTheme="minorEastAsia" w:hAnsiTheme="minorEastAsia" w:eastAsiaTheme="minorEastAsia"/>
                <w:highlight w:val="none"/>
              </w:rPr>
              <w:t>/</w:t>
            </w:r>
            <w:r>
              <w:rPr>
                <w:rFonts w:hint="eastAsia" w:asciiTheme="minorEastAsia" w:hAnsiTheme="minorEastAsia" w:eastAsiaTheme="minorEastAsia"/>
                <w:highlight w:val="none"/>
              </w:rPr>
              <w:t>评标基准价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4(1)</w:t>
            </w:r>
          </w:p>
        </w:tc>
        <w:tc>
          <w:tcPr>
            <w:tcW w:w="514" w:type="dxa"/>
            <w:vMerge w:val="restart"/>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施工方案评分标准</w:t>
            </w:r>
          </w:p>
          <w:p>
            <w:pPr>
              <w:spacing w:line="360" w:lineRule="auto"/>
              <w:jc w:val="both"/>
              <w:rPr>
                <w:rFonts w:asciiTheme="minorEastAsia" w:hAnsiTheme="minorEastAsia" w:eastAsiaTheme="minorEastAsia"/>
                <w:highlight w:val="none"/>
              </w:rPr>
            </w:pPr>
            <w:r>
              <w:rPr>
                <w:rFonts w:asciiTheme="minorEastAsia" w:hAnsiTheme="minorEastAsia" w:eastAsiaTheme="minorEastAsia"/>
                <w:highlight w:val="none"/>
              </w:rPr>
              <w:t>(</w:t>
            </w:r>
            <w:r>
              <w:rPr>
                <w:rFonts w:hint="eastAsia" w:asciiTheme="minorEastAsia" w:hAnsiTheme="minorEastAsia" w:eastAsiaTheme="minorEastAsia"/>
                <w:highlight w:val="none"/>
              </w:rPr>
              <w:t>10分</w:t>
            </w:r>
            <w:r>
              <w:rPr>
                <w:rFonts w:asciiTheme="minorEastAsia" w:hAnsiTheme="minorEastAsia" w:eastAsiaTheme="minorEastAsia"/>
                <w:highlight w:val="none"/>
              </w:rPr>
              <w:t>)</w:t>
            </w: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各分部分项工程有完整的施工方案</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1分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0.9分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0.8分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w:t>
            </w:r>
            <w:r>
              <w:rPr>
                <w:rFonts w:hint="eastAsia" w:asciiTheme="minorEastAsia" w:hAnsiTheme="minorEastAsia" w:eastAsiaTheme="minorEastAsia"/>
                <w:highlight w:val="none"/>
              </w:rPr>
              <w:t>0.7分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施工机械和工程材料进退场计划</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1分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0.9分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0.8分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w:t>
            </w:r>
            <w:r>
              <w:rPr>
                <w:rFonts w:hint="eastAsia" w:asciiTheme="minorEastAsia" w:hAnsiTheme="minorEastAsia" w:eastAsiaTheme="minorEastAsia"/>
                <w:highlight w:val="none"/>
              </w:rPr>
              <w:t>0.7分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413" w:hRule="atLeast"/>
        </w:trPr>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依据本招标文件和本工程设计图纸施工现场平面布置图合理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1分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0.9分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0.8分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w:t>
            </w:r>
            <w:r>
              <w:rPr>
                <w:rFonts w:hint="eastAsia" w:asciiTheme="minorEastAsia" w:hAnsiTheme="minorEastAsia" w:eastAsiaTheme="minorEastAsia"/>
                <w:highlight w:val="none"/>
              </w:rPr>
              <w:t>0.7分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确保工程质量所采取的具体措施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2</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1.8</w:t>
            </w:r>
            <w:r>
              <w:rPr>
                <w:rFonts w:hint="eastAsia" w:asciiTheme="minorEastAsia" w:hAnsiTheme="minorEastAsia" w:eastAsiaTheme="minorEastAsia"/>
                <w:highlight w:val="none"/>
              </w:rPr>
              <w:t>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1.6</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:1.4</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确保工程进度所采取的具体措施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2</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1.8</w:t>
            </w:r>
            <w:r>
              <w:rPr>
                <w:rFonts w:hint="eastAsia" w:asciiTheme="minorEastAsia" w:hAnsiTheme="minorEastAsia" w:eastAsiaTheme="minorEastAsia"/>
                <w:highlight w:val="none"/>
              </w:rPr>
              <w:t>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1.6</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:1.4</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保证安全、文明施工,减 少扰 民降低环境污染和噪音措施、保护周边道路、防止环境污染措施</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2</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1.8</w:t>
            </w:r>
            <w:r>
              <w:rPr>
                <w:rFonts w:hint="eastAsia" w:asciiTheme="minorEastAsia" w:hAnsiTheme="minorEastAsia" w:eastAsiaTheme="minorEastAsia"/>
                <w:highlight w:val="none"/>
              </w:rPr>
              <w:t>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1.6</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:1.4</w:t>
            </w:r>
            <w:r>
              <w:rPr>
                <w:rFonts w:hint="eastAsia" w:asciiTheme="minorEastAsia" w:hAnsiTheme="minorEastAsia" w:eastAsiaTheme="minorEastAsia"/>
                <w:highlight w:val="none"/>
              </w:rPr>
              <w:t>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p>
        </w:tc>
        <w:tc>
          <w:tcPr>
            <w:tcW w:w="514" w:type="dxa"/>
            <w:vMerge w:val="continue"/>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p>
        </w:tc>
        <w:tc>
          <w:tcPr>
            <w:tcW w:w="2107"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依据本招标文件和本工程设计图纸对本工程的重点、难点、特殊部位处理,有详细的处理方法</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优</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1分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良</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0.9分</w:t>
            </w:r>
            <w:r>
              <w:rPr>
                <w:rFonts w:asciiTheme="minorEastAsia" w:hAnsiTheme="minorEastAsia" w:eastAsiaTheme="minorEastAsia"/>
                <w:highlight w:val="none"/>
              </w:rPr>
              <w:t>;</w:t>
            </w:r>
            <w:r>
              <w:rPr>
                <w:rFonts w:hint="eastAsia" w:asciiTheme="minorEastAsia" w:hAnsiTheme="minorEastAsia" w:eastAsiaTheme="minorEastAsia"/>
                <w:highlight w:val="none"/>
              </w:rPr>
              <w:t>中</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0.8分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一般</w:t>
            </w:r>
            <w:r>
              <w:rPr>
                <w:rFonts w:asciiTheme="minorEastAsia" w:hAnsiTheme="minorEastAsia" w:eastAsiaTheme="minorEastAsia"/>
                <w:highlight w:val="none"/>
              </w:rPr>
              <w:t>:</w:t>
            </w:r>
            <w:r>
              <w:rPr>
                <w:rFonts w:hint="eastAsia" w:asciiTheme="minorEastAsia" w:hAnsiTheme="minorEastAsia" w:eastAsiaTheme="minorEastAsia"/>
                <w:highlight w:val="none"/>
              </w:rPr>
              <w:t>0.7分</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无</w:t>
            </w:r>
            <w:r>
              <w:rPr>
                <w:rFonts w:asciiTheme="minorEastAsia" w:hAnsiTheme="minorEastAsia" w:eastAsiaTheme="minorEastAsia"/>
                <w:highlight w:val="none"/>
              </w:rPr>
              <w:t>: 0</w:t>
            </w:r>
            <w:r>
              <w:rPr>
                <w:rFonts w:hint="eastAsia" w:asciiTheme="minorEastAsia" w:hAnsiTheme="minorEastAsia" w:eastAsiaTheme="minorEastAsia"/>
                <w:highlight w:val="none"/>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697" w:hRule="atLeast"/>
        </w:trPr>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2</w:t>
            </w:r>
            <w:r>
              <w:rPr>
                <w:rFonts w:asciiTheme="minorEastAsia" w:hAnsiTheme="minorEastAsia" w:eastAsiaTheme="minorEastAsia"/>
                <w:highlight w:val="none"/>
              </w:rPr>
              <w:t>)</w:t>
            </w:r>
          </w:p>
        </w:tc>
        <w:tc>
          <w:tcPr>
            <w:tcW w:w="514" w:type="dxa"/>
            <w:tcBorders>
              <w:top w:val="outset" w:color="auto" w:sz="6" w:space="0"/>
              <w:left w:val="outset" w:color="auto" w:sz="6" w:space="0"/>
              <w:bottom w:val="outset" w:color="auto" w:sz="6" w:space="0"/>
              <w:right w:val="single" w:color="auto" w:sz="4"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投标报价（83分）</w:t>
            </w:r>
          </w:p>
        </w:tc>
        <w:tc>
          <w:tcPr>
            <w:tcW w:w="2107" w:type="dxa"/>
            <w:tcBorders>
              <w:top w:val="outset" w:color="auto" w:sz="6" w:space="0"/>
              <w:left w:val="single" w:color="auto" w:sz="4"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偏差率</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各投标人的评标价与评标基准价相比，等于评标基准价的的满分83分，其他投标人的投标报价每高于评标基准价一个百分点扣0.5分，每低于评标基准价一个百分点扣</w:t>
            </w:r>
            <w:r>
              <w:rPr>
                <w:rFonts w:asciiTheme="minorEastAsia" w:hAnsiTheme="minorEastAsia" w:eastAsiaTheme="minorEastAsia"/>
                <w:highlight w:val="none"/>
              </w:rPr>
              <w:t>0.</w:t>
            </w:r>
            <w:r>
              <w:rPr>
                <w:rFonts w:hint="eastAsia" w:asciiTheme="minorEastAsia" w:hAnsiTheme="minorEastAsia" w:eastAsiaTheme="minorEastAsia"/>
                <w:highlight w:val="none"/>
              </w:rPr>
              <w:t>3分，不足一个百分点的按插入法计算（小数点后保留二位，第三位四舍五入）。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3</w:t>
            </w:r>
            <w:r>
              <w:rPr>
                <w:rFonts w:asciiTheme="minorEastAsia" w:hAnsiTheme="minorEastAsia" w:eastAsiaTheme="minorEastAsia"/>
                <w:highlight w:val="none"/>
              </w:rPr>
              <w:t>)</w:t>
            </w:r>
          </w:p>
        </w:tc>
        <w:tc>
          <w:tcPr>
            <w:tcW w:w="2621"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投标人业绩(1分)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企业业绩：</w:t>
            </w:r>
            <w:r>
              <w:rPr>
                <w:rFonts w:asciiTheme="minorEastAsia" w:hAnsiTheme="minorEastAsia" w:eastAsiaTheme="minorEastAsia"/>
                <w:highlight w:val="none"/>
              </w:rPr>
              <w:t>201</w:t>
            </w:r>
            <w:r>
              <w:rPr>
                <w:rFonts w:hint="eastAsia" w:asciiTheme="minorEastAsia" w:hAnsiTheme="minorEastAsia" w:eastAsiaTheme="minorEastAsia"/>
                <w:highlight w:val="none"/>
              </w:rPr>
              <w:t>6年1月</w:t>
            </w:r>
            <w:r>
              <w:rPr>
                <w:rFonts w:asciiTheme="minorEastAsia" w:hAnsiTheme="minorEastAsia" w:eastAsiaTheme="minorEastAsia"/>
                <w:highlight w:val="none"/>
              </w:rPr>
              <w:t>1</w:t>
            </w:r>
            <w:r>
              <w:rPr>
                <w:rFonts w:hint="eastAsia" w:asciiTheme="minorEastAsia" w:hAnsiTheme="minorEastAsia" w:eastAsiaTheme="minorEastAsia"/>
                <w:highlight w:val="none"/>
              </w:rPr>
              <w:t>日至今承担过合同总价在人民币</w:t>
            </w:r>
            <w:r>
              <w:rPr>
                <w:rFonts w:hint="eastAsia" w:asciiTheme="minorEastAsia" w:hAnsiTheme="minorEastAsia" w:eastAsiaTheme="minorEastAsia"/>
                <w:highlight w:val="none"/>
                <w:lang w:val="en-US" w:eastAsia="zh-CN"/>
              </w:rPr>
              <w:t>25</w:t>
            </w:r>
            <w:r>
              <w:rPr>
                <w:rFonts w:hint="eastAsia" w:asciiTheme="minorEastAsia" w:hAnsiTheme="minorEastAsia" w:eastAsiaTheme="minorEastAsia"/>
                <w:b/>
                <w:highlight w:val="none"/>
              </w:rPr>
              <w:t>万元</w:t>
            </w:r>
            <w:r>
              <w:rPr>
                <w:rFonts w:hint="eastAsia" w:asciiTheme="minorEastAsia" w:hAnsiTheme="minorEastAsia" w:eastAsiaTheme="minorEastAsia"/>
                <w:highlight w:val="none"/>
              </w:rPr>
              <w:t>及以上与本项目类似</w:t>
            </w:r>
            <w:r>
              <w:rPr>
                <w:rFonts w:hint="eastAsia" w:asciiTheme="minorEastAsia" w:hAnsiTheme="minorEastAsia" w:eastAsiaTheme="minorEastAsia"/>
                <w:highlight w:val="none"/>
                <w:lang w:eastAsia="zh-CN"/>
              </w:rPr>
              <w:t>（钢结构工程）</w:t>
            </w:r>
            <w:r>
              <w:rPr>
                <w:rFonts w:hint="eastAsia" w:asciiTheme="minorEastAsia" w:hAnsiTheme="minorEastAsia" w:eastAsiaTheme="minorEastAsia"/>
                <w:highlight w:val="none"/>
              </w:rPr>
              <w:t>合同。有</w:t>
            </w:r>
            <w:r>
              <w:rPr>
                <w:rFonts w:asciiTheme="minorEastAsia" w:hAnsiTheme="minorEastAsia" w:eastAsiaTheme="minorEastAsia"/>
                <w:highlight w:val="none"/>
              </w:rPr>
              <w:t>1</w:t>
            </w:r>
            <w:r>
              <w:rPr>
                <w:rFonts w:hint="eastAsia" w:asciiTheme="minorEastAsia" w:hAnsiTheme="minorEastAsia" w:eastAsiaTheme="minorEastAsia"/>
                <w:highlight w:val="none"/>
              </w:rPr>
              <w:t>个得0.5分，最高不超过1分。</w:t>
            </w:r>
            <w:r>
              <w:rPr>
                <w:rFonts w:hint="eastAsia" w:asciiTheme="minorEastAsia" w:hAnsiTheme="minorEastAsia" w:eastAsiaTheme="minorEastAsia"/>
                <w:b/>
                <w:highlight w:val="none"/>
              </w:rPr>
              <w:t>提供施工合同复印件、中标通知书、竣工验收报告加盖投标人公章。时间以竣工验收证明为准、金额以</w:t>
            </w:r>
            <w:bookmarkStart w:id="83" w:name="_GoBack"/>
            <w:bookmarkEnd w:id="83"/>
            <w:r>
              <w:rPr>
                <w:rFonts w:hint="eastAsia" w:asciiTheme="minorEastAsia" w:hAnsiTheme="minorEastAsia" w:eastAsiaTheme="minorEastAsia"/>
                <w:b/>
                <w:highlight w:val="none"/>
              </w:rPr>
              <w:t>中标通知书为准，若中标通知书、合同、竣工验收证明不能反映相关内容的，应提供甲方证明原件或竣工图纸原件。</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293" w:hRule="atLeast"/>
        </w:trPr>
        <w:tc>
          <w:tcPr>
            <w:tcW w:w="675"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Theme="minorEastAsia" w:hAnsiTheme="minorEastAsia" w:eastAsiaTheme="minorEastAsia"/>
                <w:highlight w:val="none"/>
              </w:rPr>
            </w:pPr>
            <w:r>
              <w:rPr>
                <w:rFonts w:asciiTheme="minorEastAsia" w:hAnsiTheme="minorEastAsia" w:eastAsiaTheme="minorEastAsia"/>
                <w:highlight w:val="none"/>
              </w:rPr>
              <w:t>4(</w:t>
            </w:r>
            <w:r>
              <w:rPr>
                <w:rFonts w:hint="eastAsia" w:asciiTheme="minorEastAsia" w:hAnsiTheme="minorEastAsia" w:eastAsiaTheme="minorEastAsia"/>
                <w:highlight w:val="none"/>
              </w:rPr>
              <w:t>4</w:t>
            </w:r>
            <w:r>
              <w:rPr>
                <w:rFonts w:asciiTheme="minorEastAsia" w:hAnsiTheme="minorEastAsia" w:eastAsiaTheme="minorEastAsia"/>
                <w:highlight w:val="none"/>
              </w:rPr>
              <w:t>)</w:t>
            </w:r>
          </w:p>
        </w:tc>
        <w:tc>
          <w:tcPr>
            <w:tcW w:w="2621" w:type="dxa"/>
            <w:gridSpan w:val="2"/>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投标材料的质量先进性、匹配性、可靠性、稳定性、环保性等情况的评价(6分)</w:t>
            </w:r>
          </w:p>
        </w:tc>
        <w:tc>
          <w:tcPr>
            <w:tcW w:w="6060" w:type="dxa"/>
            <w:tcBorders>
              <w:top w:val="outset" w:color="auto" w:sz="6" w:space="0"/>
              <w:left w:val="outset" w:color="auto" w:sz="6" w:space="0"/>
              <w:bottom w:val="outset" w:color="auto" w:sz="6" w:space="0"/>
              <w:right w:val="outset" w:color="auto" w:sz="6" w:space="0"/>
            </w:tcBorders>
            <w:vAlign w:val="center"/>
          </w:tcPr>
          <w:p>
            <w:pPr>
              <w:spacing w:line="360" w:lineRule="auto"/>
              <w:jc w:val="both"/>
              <w:rPr>
                <w:rFonts w:asciiTheme="minorEastAsia" w:hAnsiTheme="minorEastAsia" w:eastAsiaTheme="minorEastAsia"/>
                <w:highlight w:val="none"/>
              </w:rPr>
            </w:pPr>
            <w:r>
              <w:rPr>
                <w:rFonts w:hint="eastAsia" w:asciiTheme="minorEastAsia" w:hAnsiTheme="minorEastAsia" w:eastAsiaTheme="minorEastAsia"/>
                <w:highlight w:val="none"/>
              </w:rPr>
              <w:t>评委根据投标材料的档次、影响力及产品的环保性先进性、可靠性、稳定性等方面进行综合评价，好得5-6分，较好得2-4分，一般得0-1分；满分6分。</w:t>
            </w:r>
          </w:p>
        </w:tc>
      </w:tr>
    </w:tbl>
    <w:p>
      <w:pPr>
        <w:pStyle w:val="38"/>
        <w:rPr>
          <w:rFonts w:ascii="宋体" w:hAnsi="宋体" w:eastAsia="宋体"/>
          <w:snapToGrid w:val="0"/>
          <w:highlight w:val="none"/>
        </w:rPr>
      </w:pPr>
      <w:bookmarkStart w:id="51" w:name="_Toc7470"/>
      <w:r>
        <w:rPr>
          <w:rFonts w:hint="eastAsia" w:ascii="宋体" w:hAnsi="宋体" w:eastAsia="宋体"/>
          <w:snapToGrid w:val="0"/>
          <w:highlight w:val="none"/>
        </w:rPr>
        <w:t>第二章</w:t>
      </w:r>
      <w:r>
        <w:rPr>
          <w:rFonts w:ascii="宋体" w:hAnsi="宋体" w:eastAsia="宋体"/>
          <w:snapToGrid w:val="0"/>
          <w:highlight w:val="none"/>
        </w:rPr>
        <w:t xml:space="preserve"> </w:t>
      </w:r>
      <w:r>
        <w:rPr>
          <w:rFonts w:hint="eastAsia" w:ascii="宋体" w:hAnsi="宋体" w:eastAsia="宋体"/>
          <w:snapToGrid w:val="0"/>
          <w:highlight w:val="none"/>
        </w:rPr>
        <w:t>合同</w:t>
      </w:r>
      <w:bookmarkEnd w:id="51"/>
    </w:p>
    <w:p>
      <w:pPr>
        <w:rPr>
          <w:highlight w:val="none"/>
        </w:rPr>
      </w:pPr>
    </w:p>
    <w:p>
      <w:pPr>
        <w:rPr>
          <w:highlight w:val="none"/>
        </w:rPr>
      </w:pPr>
    </w:p>
    <w:p>
      <w:pPr>
        <w:rPr>
          <w:highlight w:val="none"/>
        </w:rPr>
      </w:pPr>
    </w:p>
    <w:p>
      <w:pPr>
        <w:widowControl w:val="0"/>
        <w:spacing w:line="300" w:lineRule="auto"/>
        <w:jc w:val="center"/>
        <w:rPr>
          <w:rFonts w:ascii="仿宋" w:hAnsi="仿宋" w:eastAsia="仿宋"/>
          <w:sz w:val="52"/>
          <w:szCs w:val="52"/>
          <w:highlight w:val="none"/>
        </w:rPr>
      </w:pPr>
      <w:r>
        <w:rPr>
          <w:rFonts w:hint="eastAsia" w:ascii="仿宋" w:hAnsi="仿宋" w:eastAsia="仿宋"/>
          <w:sz w:val="52"/>
          <w:szCs w:val="52"/>
          <w:highlight w:val="none"/>
        </w:rPr>
        <w:t>南  京  大  学</w:t>
      </w:r>
    </w:p>
    <w:p>
      <w:pPr>
        <w:widowControl w:val="0"/>
        <w:spacing w:line="300" w:lineRule="auto"/>
        <w:jc w:val="center"/>
        <w:rPr>
          <w:rFonts w:ascii="仿宋" w:hAnsi="仿宋" w:eastAsia="仿宋"/>
          <w:sz w:val="44"/>
          <w:szCs w:val="52"/>
          <w:highlight w:val="none"/>
        </w:rPr>
      </w:pPr>
      <w:r>
        <w:rPr>
          <w:rFonts w:hint="eastAsia" w:ascii="仿宋" w:hAnsi="仿宋" w:eastAsia="仿宋"/>
          <w:sz w:val="44"/>
          <w:szCs w:val="52"/>
          <w:highlight w:val="none"/>
          <w:u w:val="single"/>
        </w:rPr>
        <w:t>仙林校区化学楼酸雾净化塔补水改造工程（新增水箱基础）</w:t>
      </w:r>
      <w:r>
        <w:rPr>
          <w:rFonts w:hint="eastAsia" w:ascii="仿宋" w:hAnsi="仿宋" w:eastAsia="仿宋"/>
          <w:sz w:val="44"/>
          <w:szCs w:val="52"/>
          <w:highlight w:val="none"/>
        </w:rPr>
        <w:t>项目</w:t>
      </w:r>
    </w:p>
    <w:p>
      <w:pPr>
        <w:widowControl w:val="0"/>
        <w:jc w:val="center"/>
        <w:rPr>
          <w:rFonts w:ascii="仿宋" w:hAnsi="仿宋" w:eastAsia="仿宋"/>
          <w:b/>
          <w:sz w:val="72"/>
          <w:szCs w:val="52"/>
          <w:highlight w:val="none"/>
        </w:rPr>
      </w:pPr>
    </w:p>
    <w:p>
      <w:pPr>
        <w:widowControl w:val="0"/>
        <w:jc w:val="center"/>
        <w:rPr>
          <w:rFonts w:ascii="仿宋" w:hAnsi="仿宋" w:eastAsia="仿宋"/>
          <w:b/>
          <w:sz w:val="72"/>
          <w:szCs w:val="52"/>
          <w:highlight w:val="none"/>
        </w:rPr>
      </w:pPr>
    </w:p>
    <w:p>
      <w:pPr>
        <w:widowControl w:val="0"/>
        <w:jc w:val="center"/>
        <w:rPr>
          <w:rFonts w:ascii="仿宋" w:hAnsi="仿宋" w:eastAsia="仿宋"/>
          <w:sz w:val="72"/>
          <w:szCs w:val="72"/>
          <w:highlight w:val="none"/>
        </w:rPr>
      </w:pPr>
      <w:r>
        <w:rPr>
          <w:rFonts w:hint="eastAsia" w:ascii="仿宋" w:hAnsi="仿宋" w:eastAsia="仿宋"/>
          <w:sz w:val="72"/>
          <w:szCs w:val="72"/>
          <w:highlight w:val="none"/>
        </w:rPr>
        <w:t>施 工 合 同</w:t>
      </w:r>
    </w:p>
    <w:p>
      <w:pPr>
        <w:widowControl w:val="0"/>
        <w:spacing w:line="360" w:lineRule="auto"/>
        <w:jc w:val="center"/>
        <w:rPr>
          <w:rFonts w:ascii="仿宋" w:hAnsi="仿宋" w:eastAsia="仿宋"/>
          <w:b/>
          <w:sz w:val="30"/>
          <w:szCs w:val="30"/>
          <w:highlight w:val="none"/>
        </w:rPr>
      </w:pPr>
    </w:p>
    <w:p>
      <w:pPr>
        <w:widowControl w:val="0"/>
        <w:spacing w:line="360" w:lineRule="auto"/>
        <w:jc w:val="center"/>
        <w:rPr>
          <w:rFonts w:hint="default" w:ascii="仿宋" w:hAnsi="仿宋" w:eastAsia="仿宋"/>
          <w:bCs/>
          <w:sz w:val="32"/>
          <w:szCs w:val="32"/>
          <w:highlight w:val="none"/>
          <w:lang w:val="en-US" w:eastAsia="zh-CN"/>
        </w:rPr>
      </w:pPr>
      <w:r>
        <w:rPr>
          <w:rFonts w:hint="eastAsia" w:ascii="仿宋" w:hAnsi="仿宋" w:eastAsia="仿宋"/>
          <w:bCs/>
          <w:sz w:val="32"/>
          <w:szCs w:val="32"/>
          <w:highlight w:val="none"/>
        </w:rPr>
        <w:t>合同编号：南基（工）</w:t>
      </w:r>
      <w:r>
        <w:rPr>
          <w:rFonts w:ascii="仿宋" w:hAnsi="仿宋" w:eastAsia="仿宋"/>
          <w:bCs/>
          <w:sz w:val="32"/>
          <w:szCs w:val="32"/>
          <w:highlight w:val="none"/>
        </w:rPr>
        <w:t>2019-</w:t>
      </w:r>
      <w:r>
        <w:rPr>
          <w:rFonts w:hint="eastAsia" w:ascii="仿宋" w:hAnsi="仿宋" w:eastAsia="仿宋"/>
          <w:bCs/>
          <w:sz w:val="32"/>
          <w:szCs w:val="32"/>
          <w:highlight w:val="none"/>
        </w:rPr>
        <w:t>1</w:t>
      </w:r>
      <w:r>
        <w:rPr>
          <w:rFonts w:hint="eastAsia" w:ascii="仿宋" w:hAnsi="仿宋" w:eastAsia="仿宋"/>
          <w:bCs/>
          <w:sz w:val="32"/>
          <w:szCs w:val="32"/>
          <w:highlight w:val="none"/>
          <w:lang w:val="en-US" w:eastAsia="zh-CN"/>
        </w:rPr>
        <w:t>11</w:t>
      </w:r>
    </w:p>
    <w:p>
      <w:pPr>
        <w:widowControl w:val="0"/>
        <w:spacing w:line="360" w:lineRule="auto"/>
        <w:jc w:val="center"/>
        <w:rPr>
          <w:rFonts w:ascii="仿宋" w:hAnsi="仿宋" w:eastAsia="仿宋"/>
          <w:b/>
          <w:sz w:val="72"/>
          <w:szCs w:val="72"/>
          <w:highlight w:val="none"/>
        </w:rPr>
      </w:pPr>
    </w:p>
    <w:p>
      <w:pPr>
        <w:widowControl w:val="0"/>
        <w:spacing w:line="360" w:lineRule="auto"/>
        <w:jc w:val="center"/>
        <w:rPr>
          <w:rFonts w:ascii="仿宋" w:hAnsi="仿宋" w:eastAsia="仿宋"/>
          <w:b/>
          <w:sz w:val="72"/>
          <w:szCs w:val="72"/>
          <w:highlight w:val="none"/>
        </w:rPr>
      </w:pPr>
    </w:p>
    <w:p>
      <w:pPr>
        <w:widowControl w:val="0"/>
        <w:spacing w:line="360" w:lineRule="auto"/>
        <w:jc w:val="center"/>
        <w:rPr>
          <w:rFonts w:ascii="仿宋" w:hAnsi="仿宋" w:eastAsia="仿宋"/>
          <w:b/>
          <w:sz w:val="56"/>
          <w:szCs w:val="72"/>
          <w:highlight w:val="none"/>
        </w:rPr>
      </w:pPr>
    </w:p>
    <w:p>
      <w:pPr>
        <w:widowControl w:val="0"/>
        <w:spacing w:line="480" w:lineRule="auto"/>
        <w:ind w:left="1200" w:leftChars="600"/>
        <w:rPr>
          <w:rFonts w:ascii="仿宋" w:hAnsi="仿宋" w:eastAsia="仿宋"/>
          <w:b/>
          <w:sz w:val="72"/>
          <w:szCs w:val="72"/>
          <w:highlight w:val="none"/>
        </w:rPr>
      </w:pPr>
      <w:r>
        <w:rPr>
          <w:rFonts w:hint="eastAsia" w:ascii="仿宋" w:hAnsi="仿宋" w:eastAsia="仿宋"/>
          <w:b/>
          <w:bCs/>
          <w:kern w:val="2"/>
          <w:sz w:val="32"/>
          <w:szCs w:val="32"/>
          <w:highlight w:val="none"/>
        </w:rPr>
        <w:t>签订合同地点：</w:t>
      </w:r>
      <w:r>
        <w:rPr>
          <w:rFonts w:hint="eastAsia" w:ascii="仿宋" w:hAnsi="仿宋" w:eastAsia="仿宋"/>
          <w:b/>
          <w:bCs/>
          <w:kern w:val="2"/>
          <w:sz w:val="32"/>
          <w:szCs w:val="32"/>
          <w:highlight w:val="none"/>
          <w:u w:val="single"/>
        </w:rPr>
        <w:t>南京市栖霞区仙林大道</w:t>
      </w:r>
      <w:r>
        <w:rPr>
          <w:rFonts w:ascii="仿宋" w:hAnsi="仿宋" w:eastAsia="仿宋"/>
          <w:b/>
          <w:bCs/>
          <w:kern w:val="2"/>
          <w:sz w:val="32"/>
          <w:szCs w:val="32"/>
          <w:highlight w:val="none"/>
          <w:u w:val="single"/>
        </w:rPr>
        <w:t>163号</w:t>
      </w:r>
    </w:p>
    <w:p>
      <w:pPr>
        <w:widowControl w:val="0"/>
        <w:spacing w:line="480" w:lineRule="auto"/>
        <w:ind w:left="1200" w:leftChars="600"/>
        <w:rPr>
          <w:rFonts w:ascii="仿宋" w:hAnsi="仿宋" w:eastAsia="仿宋"/>
          <w:snapToGrid w:val="0"/>
          <w:highlight w:val="none"/>
        </w:rPr>
      </w:pPr>
      <w:r>
        <w:rPr>
          <w:rFonts w:hint="eastAsia" w:ascii="仿宋" w:hAnsi="仿宋" w:eastAsia="仿宋"/>
          <w:b/>
          <w:bCs/>
          <w:kern w:val="2"/>
          <w:sz w:val="32"/>
          <w:szCs w:val="32"/>
          <w:highlight w:val="none"/>
        </w:rPr>
        <w:t>签订合同日期：</w:t>
      </w:r>
      <w:r>
        <w:rPr>
          <w:rFonts w:hint="eastAsia" w:ascii="仿宋" w:hAnsi="仿宋" w:eastAsia="仿宋"/>
          <w:b/>
          <w:bCs/>
          <w:kern w:val="2"/>
          <w:sz w:val="32"/>
          <w:szCs w:val="32"/>
          <w:highlight w:val="none"/>
          <w:u w:val="single"/>
        </w:rPr>
        <w:t xml:space="preserve">  </w:t>
      </w:r>
      <w:r>
        <w:rPr>
          <w:rFonts w:ascii="仿宋" w:hAnsi="仿宋" w:eastAsia="仿宋"/>
          <w:b/>
          <w:bCs/>
          <w:kern w:val="2"/>
          <w:sz w:val="32"/>
          <w:szCs w:val="32"/>
          <w:highlight w:val="none"/>
          <w:u w:val="single"/>
        </w:rPr>
        <w:t xml:space="preserve">  </w:t>
      </w:r>
      <w:r>
        <w:rPr>
          <w:rFonts w:hint="eastAsia" w:ascii="仿宋" w:hAnsi="仿宋" w:eastAsia="仿宋"/>
          <w:b/>
          <w:bCs/>
          <w:kern w:val="2"/>
          <w:sz w:val="32"/>
          <w:szCs w:val="32"/>
          <w:highlight w:val="none"/>
          <w:u w:val="single"/>
        </w:rPr>
        <w:t xml:space="preserve"> 20</w:t>
      </w:r>
      <w:r>
        <w:rPr>
          <w:rFonts w:ascii="仿宋" w:hAnsi="仿宋" w:eastAsia="仿宋"/>
          <w:b/>
          <w:bCs/>
          <w:kern w:val="2"/>
          <w:sz w:val="32"/>
          <w:szCs w:val="32"/>
          <w:highlight w:val="none"/>
          <w:u w:val="single"/>
        </w:rPr>
        <w:t>19</w:t>
      </w:r>
      <w:r>
        <w:rPr>
          <w:rFonts w:hint="eastAsia" w:ascii="仿宋" w:hAnsi="仿宋" w:eastAsia="仿宋"/>
          <w:b/>
          <w:bCs/>
          <w:kern w:val="2"/>
          <w:sz w:val="32"/>
          <w:szCs w:val="32"/>
          <w:highlight w:val="none"/>
          <w:u w:val="single"/>
        </w:rPr>
        <w:t>年  月  日</w:t>
      </w:r>
      <w:r>
        <w:rPr>
          <w:rFonts w:ascii="仿宋" w:hAnsi="仿宋" w:eastAsia="仿宋"/>
          <w:b/>
          <w:bCs/>
          <w:kern w:val="2"/>
          <w:sz w:val="32"/>
          <w:szCs w:val="32"/>
          <w:highlight w:val="none"/>
          <w:u w:val="single"/>
        </w:rPr>
        <w:t xml:space="preserve">  </w:t>
      </w:r>
      <w:r>
        <w:rPr>
          <w:rFonts w:hint="eastAsia" w:ascii="仿宋" w:hAnsi="仿宋" w:eastAsia="仿宋"/>
          <w:b/>
          <w:bCs/>
          <w:kern w:val="2"/>
          <w:sz w:val="32"/>
          <w:szCs w:val="32"/>
          <w:highlight w:val="none"/>
          <w:u w:val="single"/>
        </w:rPr>
        <w:t xml:space="preserve">  </w:t>
      </w:r>
      <w:bookmarkStart w:id="52" w:name="_Toc3537733"/>
    </w:p>
    <w:p>
      <w:pPr>
        <w:rPr>
          <w:rFonts w:ascii="仿宋" w:hAnsi="仿宋" w:eastAsia="仿宋"/>
          <w:snapToGrid w:val="0"/>
          <w:highlight w:val="none"/>
        </w:rPr>
      </w:pPr>
    </w:p>
    <w:p>
      <w:pPr>
        <w:rPr>
          <w:rFonts w:ascii="仿宋" w:hAnsi="仿宋" w:eastAsia="仿宋"/>
          <w:snapToGrid w:val="0"/>
          <w:highlight w:val="none"/>
        </w:rPr>
      </w:pPr>
    </w:p>
    <w:bookmarkEnd w:id="52"/>
    <w:p>
      <w:pPr>
        <w:adjustRightInd w:val="0"/>
        <w:snapToGrid w:val="0"/>
        <w:spacing w:line="400" w:lineRule="exact"/>
        <w:jc w:val="center"/>
        <w:rPr>
          <w:rFonts w:ascii="仿宋" w:hAnsi="仿宋" w:eastAsia="仿宋"/>
          <w:b/>
          <w:color w:val="000000"/>
          <w:sz w:val="30"/>
          <w:szCs w:val="30"/>
          <w:highlight w:val="none"/>
        </w:rPr>
      </w:pPr>
      <w:r>
        <w:rPr>
          <w:rFonts w:hint="eastAsia" w:ascii="仿宋" w:hAnsi="仿宋" w:eastAsia="仿宋"/>
          <w:b/>
          <w:color w:val="000000"/>
          <w:sz w:val="30"/>
          <w:szCs w:val="30"/>
          <w:highlight w:val="none"/>
        </w:rPr>
        <w:t>第一部分 合同协议书</w:t>
      </w:r>
    </w:p>
    <w:p>
      <w:pPr>
        <w:adjustRightInd w:val="0"/>
        <w:snapToGrid w:val="0"/>
        <w:spacing w:line="400" w:lineRule="exact"/>
        <w:rPr>
          <w:rFonts w:ascii="仿宋_GB2312" w:eastAsia="仿宋_GB2312"/>
          <w:b/>
          <w:sz w:val="24"/>
          <w:highlight w:val="none"/>
        </w:rPr>
      </w:pPr>
      <w:r>
        <w:rPr>
          <w:rFonts w:hint="eastAsia" w:ascii="仿宋_GB2312" w:eastAsia="仿宋_GB2312"/>
          <w:b/>
          <w:color w:val="000000"/>
          <w:sz w:val="24"/>
          <w:highlight w:val="none"/>
        </w:rPr>
        <w:t>发包人（全称）：</w:t>
      </w:r>
      <w:r>
        <w:rPr>
          <w:rFonts w:hint="eastAsia" w:ascii="仿宋_GB2312" w:eastAsia="仿宋_GB2312"/>
          <w:b/>
          <w:color w:val="000000"/>
          <w:sz w:val="24"/>
          <w:highlight w:val="none"/>
          <w:u w:val="single"/>
        </w:rPr>
        <w:t xml:space="preserve">        </w:t>
      </w:r>
      <w:r>
        <w:rPr>
          <w:rFonts w:hint="eastAsia" w:ascii="仿宋_GB2312" w:eastAsia="仿宋_GB2312"/>
          <w:b/>
          <w:sz w:val="24"/>
          <w:highlight w:val="none"/>
          <w:u w:val="single"/>
        </w:rPr>
        <w:t xml:space="preserve">                  </w:t>
      </w:r>
    </w:p>
    <w:p>
      <w:pPr>
        <w:tabs>
          <w:tab w:val="left" w:pos="630"/>
        </w:tabs>
        <w:adjustRightInd w:val="0"/>
        <w:snapToGrid w:val="0"/>
        <w:spacing w:line="400" w:lineRule="exact"/>
        <w:rPr>
          <w:rFonts w:ascii="仿宋_GB2312" w:eastAsia="仿宋_GB2312"/>
          <w:sz w:val="24"/>
          <w:highlight w:val="none"/>
        </w:rPr>
      </w:pPr>
      <w:r>
        <w:rPr>
          <w:rFonts w:hint="eastAsia" w:ascii="仿宋_GB2312" w:eastAsia="仿宋_GB2312"/>
          <w:b/>
          <w:sz w:val="24"/>
          <w:highlight w:val="none"/>
        </w:rPr>
        <w:t>承包人（全称）：</w:t>
      </w:r>
      <w:r>
        <w:rPr>
          <w:rFonts w:hint="eastAsia" w:ascii="仿宋_GB2312" w:eastAsia="仿宋_GB2312"/>
          <w:b/>
          <w:sz w:val="24"/>
          <w:highlight w:val="none"/>
          <w:u w:val="single"/>
        </w:rPr>
        <w:t xml:space="preserve">                          </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依照《中华人民共和国合同法》、《中华人民共和国建筑法》及有关法律规定，遵循平等、自愿、公平和诚实信用的原则，双方就</w:t>
      </w:r>
      <w:r>
        <w:rPr>
          <w:rFonts w:hint="eastAsia" w:ascii="仿宋_GB2312" w:eastAsia="仿宋_GB2312"/>
          <w:sz w:val="24"/>
          <w:highlight w:val="none"/>
          <w:u w:val="single"/>
          <w:lang w:eastAsia="zh-CN"/>
        </w:rPr>
        <w:t>南京大学</w:t>
      </w:r>
      <w:r>
        <w:rPr>
          <w:rFonts w:hint="eastAsia" w:ascii="仿宋_GB2312" w:eastAsia="仿宋_GB2312"/>
          <w:sz w:val="24"/>
          <w:highlight w:val="none"/>
          <w:u w:val="single"/>
        </w:rPr>
        <w:t>仙林校区化学楼酸雾净化塔补水改造工程（新增水箱基础）</w:t>
      </w:r>
      <w:r>
        <w:rPr>
          <w:rFonts w:hint="eastAsia" w:ascii="仿宋_GB2312" w:eastAsia="仿宋_GB2312"/>
          <w:sz w:val="24"/>
          <w:highlight w:val="none"/>
        </w:rPr>
        <w:t>施工及有关事项协商一致，共同达成如下协议：</w:t>
      </w:r>
    </w:p>
    <w:p>
      <w:pPr>
        <w:adjustRightInd w:val="0"/>
        <w:snapToGrid w:val="0"/>
        <w:spacing w:line="400" w:lineRule="exact"/>
        <w:ind w:firstLine="482" w:firstLineChars="200"/>
        <w:rPr>
          <w:rFonts w:ascii="仿宋_GB2312" w:eastAsia="仿宋_GB2312"/>
          <w:sz w:val="24"/>
          <w:highlight w:val="none"/>
        </w:rPr>
      </w:pPr>
      <w:r>
        <w:rPr>
          <w:rFonts w:hint="eastAsia" w:ascii="仿宋_GB2312" w:eastAsia="仿宋_GB2312"/>
          <w:b/>
          <w:bCs/>
          <w:sz w:val="24"/>
          <w:highlight w:val="none"/>
        </w:rPr>
        <w:t>一、工程概况</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1.工程名称：</w:t>
      </w:r>
      <w:r>
        <w:rPr>
          <w:rFonts w:hint="eastAsia" w:ascii="仿宋_GB2312" w:eastAsia="仿宋_GB2312"/>
          <w:sz w:val="24"/>
          <w:highlight w:val="none"/>
          <w:u w:val="single"/>
          <w:lang w:eastAsia="zh-CN"/>
        </w:rPr>
        <w:t>南京大学</w:t>
      </w:r>
      <w:r>
        <w:rPr>
          <w:rFonts w:hint="eastAsia" w:ascii="仿宋_GB2312" w:eastAsia="仿宋_GB2312"/>
          <w:sz w:val="24"/>
          <w:highlight w:val="none"/>
          <w:u w:val="single"/>
        </w:rPr>
        <w:t>仙林校区化学楼酸雾净化塔补水改造工程（新增水箱基础）</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2.工程地点：</w:t>
      </w:r>
      <w:r>
        <w:rPr>
          <w:rFonts w:hint="eastAsia" w:ascii="仿宋_GB2312" w:eastAsia="仿宋_GB2312"/>
          <w:sz w:val="24"/>
          <w:highlight w:val="none"/>
          <w:u w:val="single"/>
        </w:rPr>
        <w:t>南京大学仙林校区</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u w:val="single"/>
        </w:rPr>
      </w:pPr>
      <w:r>
        <w:rPr>
          <w:rFonts w:hint="eastAsia" w:ascii="仿宋_GB2312" w:eastAsia="仿宋_GB2312"/>
          <w:sz w:val="24"/>
          <w:highlight w:val="none"/>
        </w:rPr>
        <w:t>3.工程内容：</w:t>
      </w:r>
      <w:r>
        <w:rPr>
          <w:rFonts w:hint="eastAsia" w:ascii="仿宋_GB2312" w:eastAsia="仿宋_GB2312"/>
          <w:sz w:val="24"/>
          <w:highlight w:val="none"/>
          <w:u w:val="single"/>
        </w:rPr>
        <w:t>本工程位于南京大学仙林校区，拟对化学楼酸雾净化塔补水系统进行改造，新增钢结构水箱基础，改造工程在现有框架柱上施工。工程内容包括混凝土及钢筋混凝土工程、金属结构工程、钢筋工程、拆除、改造工程等</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4.工程承包范围：</w:t>
      </w:r>
      <w:r>
        <w:rPr>
          <w:rFonts w:hint="eastAsia" w:ascii="仿宋_GB2312" w:eastAsia="仿宋_GB2312"/>
          <w:sz w:val="24"/>
          <w:highlight w:val="none"/>
          <w:u w:val="single"/>
        </w:rPr>
        <w:t>图纸及工程量清单全部内容</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color w:val="000000"/>
          <w:sz w:val="24"/>
          <w:highlight w:val="none"/>
        </w:rPr>
        <w:t>二、合</w:t>
      </w:r>
      <w:r>
        <w:rPr>
          <w:rFonts w:hint="eastAsia" w:ascii="仿宋_GB2312" w:eastAsia="仿宋_GB2312"/>
          <w:b/>
          <w:bCs/>
          <w:sz w:val="24"/>
          <w:highlight w:val="none"/>
        </w:rPr>
        <w:t>同工期</w:t>
      </w:r>
    </w:p>
    <w:p>
      <w:pPr>
        <w:adjustRightInd w:val="0"/>
        <w:snapToGrid w:val="0"/>
        <w:spacing w:line="400" w:lineRule="exact"/>
        <w:ind w:firstLine="480" w:firstLineChars="200"/>
        <w:rPr>
          <w:rFonts w:hint="eastAsia" w:ascii="仿宋_GB2312" w:eastAsia="仿宋_GB2312"/>
          <w:sz w:val="24"/>
          <w:highlight w:val="none"/>
          <w:lang w:eastAsia="zh-CN"/>
        </w:rPr>
      </w:pPr>
      <w:r>
        <w:rPr>
          <w:rFonts w:hint="eastAsia" w:ascii="仿宋_GB2312" w:eastAsia="仿宋_GB2312"/>
          <w:sz w:val="24"/>
          <w:highlight w:val="none"/>
        </w:rPr>
        <w:t>计划开工日期：</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r>
        <w:rPr>
          <w:rFonts w:hint="eastAsia" w:ascii="仿宋_GB2312" w:eastAsia="仿宋_GB2312"/>
          <w:sz w:val="24"/>
          <w:highlight w:val="none"/>
          <w:lang w:eastAsia="zh-CN"/>
        </w:rPr>
        <w:t>（具体开工日期以发包人书面开工令为准）</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计划竣工日期：</w:t>
      </w:r>
      <w:r>
        <w:rPr>
          <w:rFonts w:hint="eastAsia" w:ascii="仿宋_GB2312" w:eastAsia="仿宋_GB2312"/>
          <w:sz w:val="24"/>
          <w:highlight w:val="none"/>
          <w:u w:val="single"/>
        </w:rPr>
        <w:t xml:space="preserve"> 2019</w:t>
      </w:r>
      <w:r>
        <w:rPr>
          <w:rFonts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合同工期总日历天数：</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40</w:t>
      </w:r>
      <w:r>
        <w:rPr>
          <w:rFonts w:hint="eastAsia" w:ascii="仿宋_GB2312" w:eastAsia="仿宋_GB2312"/>
          <w:sz w:val="24"/>
          <w:highlight w:val="none"/>
          <w:u w:val="single"/>
        </w:rPr>
        <w:t xml:space="preserve">  </w:t>
      </w:r>
      <w:r>
        <w:rPr>
          <w:rFonts w:hint="eastAsia" w:ascii="仿宋_GB2312" w:eastAsia="仿宋_GB2312"/>
          <w:sz w:val="24"/>
          <w:highlight w:val="none"/>
        </w:rPr>
        <w:t>天。工期总日历天数与根据前述计划开竣工日期计算的工期天数不一致的，以工期总日历天数为准。</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三、质量标准</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bCs/>
          <w:sz w:val="24"/>
          <w:highlight w:val="none"/>
        </w:rPr>
        <w:t>工程质量符合</w:t>
      </w:r>
      <w:r>
        <w:rPr>
          <w:rFonts w:hint="eastAsia" w:eastAsia="仿宋_GB2312"/>
          <w:sz w:val="24"/>
          <w:highlight w:val="none"/>
          <w:u w:val="single"/>
        </w:rPr>
        <w:t>《建筑工程施工质量验收统一标准》</w:t>
      </w:r>
      <w:r>
        <w:rPr>
          <w:rFonts w:hint="eastAsia" w:ascii="仿宋_GB2312" w:eastAsia="仿宋_GB2312"/>
          <w:sz w:val="24"/>
          <w:highlight w:val="none"/>
          <w:u w:val="single"/>
        </w:rPr>
        <w:t>GB50300-20</w:t>
      </w:r>
      <w:r>
        <w:rPr>
          <w:rFonts w:ascii="仿宋_GB2312" w:eastAsia="仿宋_GB2312"/>
          <w:sz w:val="24"/>
          <w:highlight w:val="none"/>
          <w:u w:val="single"/>
        </w:rPr>
        <w:t>1</w:t>
      </w:r>
      <w:r>
        <w:rPr>
          <w:rFonts w:hint="eastAsia" w:ascii="仿宋_GB2312" w:eastAsia="仿宋_GB2312"/>
          <w:sz w:val="24"/>
          <w:highlight w:val="none"/>
          <w:u w:val="single"/>
        </w:rPr>
        <w:t>3规定的合格</w:t>
      </w:r>
      <w:r>
        <w:rPr>
          <w:rFonts w:hint="eastAsia" w:ascii="仿宋_GB2312" w:eastAsia="仿宋_GB2312"/>
          <w:sz w:val="24"/>
          <w:highlight w:val="none"/>
        </w:rPr>
        <w:t>标准。</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四、签约合同价与合同价格形式</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bCs/>
          <w:sz w:val="24"/>
          <w:highlight w:val="none"/>
        </w:rPr>
        <w:t>1.签约合同价为：</w:t>
      </w:r>
      <w:r>
        <w:rPr>
          <w:rFonts w:hint="eastAsia" w:ascii="仿宋_GB2312" w:eastAsia="仿宋_GB2312"/>
          <w:sz w:val="24"/>
          <w:highlight w:val="none"/>
        </w:rPr>
        <w:t>人民币（大写）：</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2.合同价格形式：</w:t>
      </w:r>
      <w:r>
        <w:rPr>
          <w:rFonts w:hint="eastAsia" w:ascii="仿宋_GB2312" w:eastAsia="仿宋_GB2312"/>
          <w:sz w:val="24"/>
          <w:highlight w:val="none"/>
          <w:u w:val="single"/>
        </w:rPr>
        <w:t>固定单价合同</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五、项目经理</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承包人项目经理：</w:t>
      </w:r>
      <w:r>
        <w:rPr>
          <w:rFonts w:hint="eastAsia" w:ascii="仿宋_GB2312" w:eastAsia="仿宋_GB2312"/>
          <w:sz w:val="24"/>
          <w:highlight w:val="none"/>
          <w:u w:val="single"/>
        </w:rPr>
        <w:t xml:space="preserve">         </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六、合同文件构成</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本协议书与下列文件一起构成合同文件：</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（1）中标通知书（如果有）；</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 xml:space="preserve">（2）投标函及其附录（如果有）； </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（3）专用合同条款及其附件；</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（4）通用合同条款；</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（5）技术标准和要求；</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（6）图纸；</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（7）已标价工程量清单或预算书；</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（8）其他合同文件。</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在合同订立及履行过程中形成的与合同有关的文件均构成合同文件组成部分。</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pPr>
        <w:adjustRightInd w:val="0"/>
        <w:snapToGrid w:val="0"/>
        <w:spacing w:line="400" w:lineRule="exact"/>
        <w:ind w:firstLine="482" w:firstLineChars="200"/>
        <w:rPr>
          <w:rFonts w:ascii="仿宋_GB2312" w:eastAsia="仿宋_GB2312"/>
          <w:b/>
          <w:bCs/>
          <w:color w:val="000000"/>
          <w:sz w:val="24"/>
          <w:highlight w:val="none"/>
        </w:rPr>
      </w:pPr>
      <w:r>
        <w:rPr>
          <w:rFonts w:hint="eastAsia" w:ascii="仿宋_GB2312" w:eastAsia="仿宋_GB2312"/>
          <w:b/>
          <w:bCs/>
          <w:color w:val="000000"/>
          <w:sz w:val="24"/>
          <w:highlight w:val="none"/>
        </w:rPr>
        <w:t>七、承诺</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1.发包人承诺按照法律规定履行项目审批手续、筹集工程建设资金并按照合同约定的期限和方式支付合同价款。</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2.承包人承诺按照法律规定及合同约定组织完成工程施工，确保工程质量和安全，不进行转包及违法分包，并在缺陷责任期及保修期内承担相应的工程维修责任。</w:t>
      </w:r>
    </w:p>
    <w:p>
      <w:pPr>
        <w:adjustRightInd w:val="0"/>
        <w:snapToGrid w:val="0"/>
        <w:spacing w:line="400" w:lineRule="exact"/>
        <w:ind w:firstLine="482" w:firstLineChars="200"/>
        <w:rPr>
          <w:rFonts w:ascii="仿宋_GB2312" w:eastAsia="仿宋_GB2312"/>
          <w:b/>
          <w:bCs/>
          <w:color w:val="000000"/>
          <w:sz w:val="24"/>
          <w:highlight w:val="none"/>
        </w:rPr>
      </w:pPr>
      <w:r>
        <w:rPr>
          <w:rFonts w:ascii="仿宋_GB2312" w:eastAsia="仿宋_GB2312"/>
          <w:b/>
          <w:bCs/>
          <w:color w:val="000000"/>
          <w:sz w:val="24"/>
          <w:highlight w:val="none"/>
        </w:rPr>
        <w:t>八、词语含义</w:t>
      </w:r>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color w:val="000000"/>
          <w:sz w:val="24"/>
          <w:highlight w:val="none"/>
        </w:rPr>
        <w:t>本协议书</w:t>
      </w:r>
      <w:r>
        <w:rPr>
          <w:rFonts w:ascii="仿宋_GB2312" w:eastAsia="仿宋_GB2312"/>
          <w:sz w:val="24"/>
          <w:highlight w:val="none"/>
        </w:rPr>
        <w:t>中词语含义与第二部分通用合同条款中赋予的含义相同。</w:t>
      </w:r>
    </w:p>
    <w:p>
      <w:pPr>
        <w:adjustRightInd w:val="0"/>
        <w:snapToGrid w:val="0"/>
        <w:spacing w:line="400" w:lineRule="exact"/>
        <w:ind w:firstLine="482" w:firstLineChars="200"/>
        <w:rPr>
          <w:rFonts w:ascii="仿宋_GB2312" w:eastAsia="仿宋_GB2312"/>
          <w:b/>
          <w:bCs/>
          <w:sz w:val="24"/>
          <w:highlight w:val="none"/>
        </w:rPr>
      </w:pPr>
      <w:bookmarkStart w:id="53" w:name="_Toc351203489"/>
      <w:r>
        <w:rPr>
          <w:rFonts w:ascii="仿宋_GB2312" w:eastAsia="仿宋_GB2312"/>
          <w:b/>
          <w:bCs/>
          <w:sz w:val="24"/>
          <w:highlight w:val="none"/>
        </w:rPr>
        <w:t>九、签订时间</w:t>
      </w:r>
      <w:bookmarkEnd w:id="53"/>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本合同于</w:t>
      </w:r>
      <w:r>
        <w:rPr>
          <w:rFonts w:hint="eastAsia" w:ascii="仿宋_GB2312" w:eastAsia="仿宋_GB2312"/>
          <w:sz w:val="24"/>
          <w:highlight w:val="none"/>
          <w:u w:val="single"/>
        </w:rPr>
        <w:t xml:space="preserve"> 20</w:t>
      </w:r>
      <w:r>
        <w:rPr>
          <w:rFonts w:ascii="仿宋_GB2312" w:eastAsia="仿宋_GB2312"/>
          <w:sz w:val="24"/>
          <w:highlight w:val="none"/>
          <w:u w:val="single"/>
        </w:rPr>
        <w:t>19</w:t>
      </w:r>
      <w:r>
        <w:rPr>
          <w:rFonts w:hint="eastAsia" w:ascii="仿宋_GB2312" w:eastAsia="仿宋_GB2312"/>
          <w:sz w:val="24"/>
          <w:highlight w:val="none"/>
          <w:u w:val="single"/>
        </w:rPr>
        <w:t xml:space="preserve"> </w:t>
      </w:r>
      <w:r>
        <w:rPr>
          <w:rFonts w:ascii="仿宋_GB2312" w:eastAsia="仿宋_GB2312"/>
          <w:sz w:val="24"/>
          <w:highlight w:val="none"/>
        </w:rPr>
        <w:t>年</w:t>
      </w:r>
      <w:r>
        <w:rPr>
          <w:rFonts w:hint="eastAsia" w:ascii="仿宋_GB2312" w:eastAsia="仿宋_GB2312"/>
          <w:sz w:val="24"/>
          <w:highlight w:val="none"/>
          <w:u w:val="single"/>
        </w:rPr>
        <w:t xml:space="preserve">  </w:t>
      </w:r>
      <w:r>
        <w:rPr>
          <w:rFonts w:ascii="仿宋_GB2312" w:eastAsia="仿宋_GB2312"/>
          <w:sz w:val="24"/>
          <w:highlight w:val="none"/>
        </w:rPr>
        <w:t>月</w:t>
      </w:r>
      <w:r>
        <w:rPr>
          <w:rFonts w:hint="eastAsia" w:ascii="仿宋_GB2312" w:eastAsia="仿宋_GB2312"/>
          <w:sz w:val="24"/>
          <w:highlight w:val="none"/>
          <w:u w:val="single"/>
        </w:rPr>
        <w:t xml:space="preserve">  </w:t>
      </w:r>
      <w:r>
        <w:rPr>
          <w:rFonts w:ascii="仿宋_GB2312" w:eastAsia="仿宋_GB2312"/>
          <w:sz w:val="24"/>
          <w:highlight w:val="none"/>
        </w:rPr>
        <w:t>日签订。</w:t>
      </w:r>
    </w:p>
    <w:p>
      <w:pPr>
        <w:adjustRightInd w:val="0"/>
        <w:snapToGrid w:val="0"/>
        <w:spacing w:line="400" w:lineRule="exact"/>
        <w:ind w:firstLine="482" w:firstLineChars="200"/>
        <w:rPr>
          <w:rFonts w:ascii="仿宋_GB2312" w:eastAsia="仿宋_GB2312"/>
          <w:b/>
          <w:bCs/>
          <w:sz w:val="24"/>
          <w:highlight w:val="none"/>
        </w:rPr>
      </w:pPr>
      <w:bookmarkStart w:id="54" w:name="_Toc351203490"/>
      <w:r>
        <w:rPr>
          <w:rFonts w:ascii="仿宋_GB2312" w:eastAsia="仿宋_GB2312"/>
          <w:b/>
          <w:bCs/>
          <w:sz w:val="24"/>
          <w:highlight w:val="none"/>
        </w:rPr>
        <w:t>十、签订地点</w:t>
      </w:r>
      <w:bookmarkEnd w:id="54"/>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本合同在</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南京市 </w:t>
      </w:r>
      <w:r>
        <w:rPr>
          <w:rFonts w:ascii="仿宋_GB2312" w:eastAsia="仿宋_GB2312"/>
          <w:sz w:val="24"/>
          <w:highlight w:val="none"/>
        </w:rPr>
        <w:t>签订。</w:t>
      </w:r>
    </w:p>
    <w:p>
      <w:pPr>
        <w:adjustRightInd w:val="0"/>
        <w:snapToGrid w:val="0"/>
        <w:spacing w:line="400" w:lineRule="exact"/>
        <w:ind w:firstLine="482" w:firstLineChars="200"/>
        <w:rPr>
          <w:rFonts w:ascii="仿宋_GB2312" w:eastAsia="仿宋_GB2312"/>
          <w:b/>
          <w:bCs/>
          <w:sz w:val="24"/>
          <w:highlight w:val="none"/>
        </w:rPr>
      </w:pPr>
      <w:bookmarkStart w:id="55" w:name="_Toc351203491"/>
      <w:r>
        <w:rPr>
          <w:rFonts w:ascii="仿宋_GB2312" w:eastAsia="仿宋_GB2312"/>
          <w:b/>
          <w:bCs/>
          <w:sz w:val="24"/>
          <w:highlight w:val="none"/>
        </w:rPr>
        <w:t>十一、补充协议</w:t>
      </w:r>
      <w:bookmarkEnd w:id="55"/>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合同未尽事宜，合同当事人另行签订补充协议</w:t>
      </w:r>
      <w:r>
        <w:rPr>
          <w:rFonts w:hint="eastAsia" w:ascii="仿宋_GB2312" w:eastAsia="仿宋_GB2312"/>
          <w:sz w:val="24"/>
          <w:highlight w:val="none"/>
        </w:rPr>
        <w:t>，</w:t>
      </w:r>
      <w:r>
        <w:rPr>
          <w:rFonts w:ascii="仿宋_GB2312" w:eastAsia="仿宋_GB2312"/>
          <w:sz w:val="24"/>
          <w:highlight w:val="none"/>
        </w:rPr>
        <w:t>补充协议是合同的组成部分。</w:t>
      </w:r>
    </w:p>
    <w:p>
      <w:pPr>
        <w:adjustRightInd w:val="0"/>
        <w:snapToGrid w:val="0"/>
        <w:spacing w:line="400" w:lineRule="exact"/>
        <w:ind w:firstLine="482" w:firstLineChars="200"/>
        <w:rPr>
          <w:rFonts w:ascii="仿宋_GB2312" w:eastAsia="仿宋_GB2312"/>
          <w:b/>
          <w:bCs/>
          <w:sz w:val="24"/>
          <w:highlight w:val="none"/>
        </w:rPr>
      </w:pPr>
      <w:bookmarkStart w:id="56" w:name="_Toc351203492"/>
      <w:r>
        <w:rPr>
          <w:rFonts w:ascii="仿宋_GB2312" w:eastAsia="仿宋_GB2312"/>
          <w:b/>
          <w:bCs/>
          <w:sz w:val="24"/>
          <w:highlight w:val="none"/>
        </w:rPr>
        <w:t>十二、合同生效</w:t>
      </w:r>
      <w:bookmarkEnd w:id="56"/>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本合同自</w:t>
      </w:r>
      <w:r>
        <w:rPr>
          <w:rFonts w:ascii="仿宋_GB2312" w:eastAsia="仿宋_GB2312"/>
          <w:sz w:val="24"/>
          <w:highlight w:val="none"/>
          <w:u w:val="single"/>
        </w:rPr>
        <w:t xml:space="preserve"> </w:t>
      </w:r>
      <w:r>
        <w:rPr>
          <w:rFonts w:hint="eastAsia" w:ascii="仿宋_GB2312" w:eastAsia="仿宋_GB2312"/>
          <w:sz w:val="24"/>
          <w:highlight w:val="none"/>
          <w:u w:val="single"/>
        </w:rPr>
        <w:t>双方签字盖章后</w:t>
      </w:r>
      <w:r>
        <w:rPr>
          <w:rFonts w:ascii="仿宋_GB2312" w:eastAsia="仿宋_GB2312"/>
          <w:sz w:val="24"/>
          <w:highlight w:val="none"/>
          <w:u w:val="single"/>
        </w:rPr>
        <w:t xml:space="preserve"> </w:t>
      </w:r>
      <w:r>
        <w:rPr>
          <w:rFonts w:ascii="仿宋_GB2312" w:eastAsia="仿宋_GB2312"/>
          <w:sz w:val="24"/>
          <w:highlight w:val="none"/>
        </w:rPr>
        <w:t>生效。</w:t>
      </w:r>
    </w:p>
    <w:p>
      <w:pPr>
        <w:adjustRightInd w:val="0"/>
        <w:snapToGrid w:val="0"/>
        <w:spacing w:line="400" w:lineRule="exact"/>
        <w:ind w:firstLine="482" w:firstLineChars="200"/>
        <w:rPr>
          <w:rFonts w:ascii="仿宋_GB2312" w:eastAsia="仿宋_GB2312"/>
          <w:b/>
          <w:bCs/>
          <w:sz w:val="24"/>
          <w:highlight w:val="none"/>
        </w:rPr>
      </w:pPr>
      <w:r>
        <w:rPr>
          <w:rFonts w:ascii="仿宋_GB2312" w:eastAsia="仿宋_GB2312"/>
          <w:b/>
          <w:bCs/>
          <w:sz w:val="24"/>
          <w:highlight w:val="none"/>
        </w:rPr>
        <w:t>十三、合同份数</w:t>
      </w:r>
    </w:p>
    <w:p>
      <w:pPr>
        <w:adjustRightInd w:val="0"/>
        <w:snapToGrid w:val="0"/>
        <w:spacing w:line="400" w:lineRule="exact"/>
        <w:ind w:firstLine="480" w:firstLineChars="200"/>
        <w:rPr>
          <w:rFonts w:ascii="仿宋_GB2312" w:eastAsia="仿宋_GB2312"/>
          <w:sz w:val="24"/>
          <w:highlight w:val="none"/>
        </w:rPr>
      </w:pPr>
      <w:r>
        <w:rPr>
          <w:rFonts w:ascii="仿宋_GB2312" w:eastAsia="仿宋_GB2312"/>
          <w:sz w:val="24"/>
          <w:highlight w:val="none"/>
        </w:rPr>
        <w:t>本合同一式</w:t>
      </w:r>
      <w:r>
        <w:rPr>
          <w:rFonts w:hint="eastAsia" w:ascii="仿宋_GB2312" w:eastAsia="仿宋_GB2312"/>
          <w:sz w:val="24"/>
          <w:highlight w:val="none"/>
          <w:u w:val="single"/>
        </w:rPr>
        <w:t>拾</w:t>
      </w:r>
      <w:r>
        <w:rPr>
          <w:rFonts w:ascii="仿宋_GB2312" w:eastAsia="仿宋_GB2312"/>
          <w:sz w:val="24"/>
          <w:highlight w:val="none"/>
        </w:rPr>
        <w:t>份，均具有同等法律效力，发包人执</w:t>
      </w:r>
      <w:r>
        <w:rPr>
          <w:rFonts w:hint="eastAsia" w:ascii="仿宋_GB2312" w:eastAsia="仿宋_GB2312"/>
          <w:sz w:val="24"/>
          <w:highlight w:val="none"/>
          <w:u w:val="single"/>
        </w:rPr>
        <w:t>伍</w:t>
      </w:r>
      <w:r>
        <w:rPr>
          <w:rFonts w:ascii="仿宋_GB2312" w:eastAsia="仿宋_GB2312"/>
          <w:sz w:val="24"/>
          <w:highlight w:val="none"/>
        </w:rPr>
        <w:t>份，承包人执</w:t>
      </w:r>
      <w:r>
        <w:rPr>
          <w:rFonts w:hint="eastAsia" w:ascii="仿宋_GB2312" w:eastAsia="仿宋_GB2312"/>
          <w:sz w:val="24"/>
          <w:highlight w:val="none"/>
          <w:u w:val="single"/>
        </w:rPr>
        <w:t>伍</w:t>
      </w:r>
      <w:r>
        <w:rPr>
          <w:rFonts w:ascii="仿宋_GB2312" w:eastAsia="仿宋_GB2312"/>
          <w:sz w:val="24"/>
          <w:highlight w:val="none"/>
        </w:rPr>
        <w:t>份。</w:t>
      </w:r>
    </w:p>
    <w:p>
      <w:pPr>
        <w:adjustRightInd w:val="0"/>
        <w:snapToGrid w:val="0"/>
        <w:spacing w:line="400" w:lineRule="exact"/>
        <w:ind w:firstLine="480" w:firstLineChars="200"/>
        <w:rPr>
          <w:rFonts w:ascii="仿宋_GB2312" w:eastAsia="仿宋_GB2312"/>
          <w:color w:val="000000"/>
          <w:sz w:val="24"/>
          <w:highlight w:val="none"/>
        </w:rPr>
      </w:pPr>
    </w:p>
    <w:tbl>
      <w:tblPr>
        <w:tblStyle w:val="40"/>
        <w:tblW w:w="9287" w:type="dxa"/>
        <w:tblInd w:w="0" w:type="dxa"/>
        <w:tblLayout w:type="fixed"/>
        <w:tblCellMar>
          <w:top w:w="0" w:type="dxa"/>
          <w:left w:w="108" w:type="dxa"/>
          <w:bottom w:w="0" w:type="dxa"/>
          <w:right w:w="108" w:type="dxa"/>
        </w:tblCellMar>
      </w:tblPr>
      <w:tblGrid>
        <w:gridCol w:w="4667"/>
        <w:gridCol w:w="4620"/>
      </w:tblGrid>
      <w:tr>
        <w:tblPrEx>
          <w:tblLayout w:type="fixed"/>
          <w:tblCellMar>
            <w:top w:w="0" w:type="dxa"/>
            <w:left w:w="108" w:type="dxa"/>
            <w:bottom w:w="0" w:type="dxa"/>
            <w:right w:w="108" w:type="dxa"/>
          </w:tblCellMar>
        </w:tblPrEx>
        <w:trPr>
          <w:trHeight w:val="2641" w:hRule="atLeast"/>
        </w:trPr>
        <w:tc>
          <w:tcPr>
            <w:tcW w:w="4667" w:type="dxa"/>
            <w:shd w:val="clear" w:color="auto" w:fill="auto"/>
          </w:tcPr>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发包人</w:t>
            </w:r>
            <w:r>
              <w:rPr>
                <w:rFonts w:hint="eastAsia" w:ascii="仿宋" w:hAnsi="仿宋" w:eastAsia="仿宋"/>
                <w:color w:val="000000"/>
                <w:sz w:val="24"/>
                <w:szCs w:val="24"/>
                <w:highlight w:val="none"/>
              </w:rPr>
              <w:t xml:space="preserve">：  </w:t>
            </w:r>
            <w:r>
              <w:rPr>
                <w:rFonts w:ascii="仿宋" w:hAnsi="仿宋" w:eastAsia="仿宋"/>
                <w:color w:val="000000"/>
                <w:sz w:val="24"/>
                <w:szCs w:val="24"/>
                <w:highlight w:val="none"/>
              </w:rPr>
              <w:t>(公章)</w:t>
            </w:r>
            <w:r>
              <w:rPr>
                <w:rFonts w:hint="eastAsia" w:ascii="仿宋" w:hAnsi="仿宋" w:eastAsia="仿宋"/>
                <w:color w:val="000000"/>
                <w:sz w:val="24"/>
                <w:szCs w:val="24"/>
                <w:highlight w:val="none"/>
              </w:rPr>
              <w:t xml:space="preserve">  </w:t>
            </w:r>
          </w:p>
          <w:p>
            <w:pPr>
              <w:adjustRightInd w:val="0"/>
              <w:snapToGrid w:val="0"/>
              <w:spacing w:line="400" w:lineRule="exact"/>
              <w:rPr>
                <w:rFonts w:ascii="仿宋" w:hAnsi="仿宋" w:eastAsia="仿宋"/>
                <w:color w:val="000000"/>
                <w:sz w:val="24"/>
                <w:szCs w:val="24"/>
                <w:highlight w:val="none"/>
              </w:rPr>
            </w:pP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法定代表人或其委托代理人：</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（签字）</w:t>
            </w:r>
          </w:p>
          <w:p>
            <w:pPr>
              <w:adjustRightInd w:val="0"/>
              <w:snapToGrid w:val="0"/>
              <w:spacing w:line="400" w:lineRule="exact"/>
              <w:rPr>
                <w:rFonts w:ascii="仿宋" w:hAnsi="仿宋" w:eastAsia="仿宋"/>
                <w:color w:val="000000"/>
                <w:sz w:val="24"/>
                <w:szCs w:val="24"/>
                <w:highlight w:val="none"/>
              </w:rPr>
            </w:pP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组织机构代码：</w:t>
            </w:r>
            <w:r>
              <w:rPr>
                <w:rFonts w:ascii="仿宋" w:hAnsi="仿宋" w:eastAsia="仿宋"/>
                <w:color w:val="000000"/>
                <w:sz w:val="24"/>
                <w:szCs w:val="24"/>
                <w:highlight w:val="none"/>
              </w:rPr>
              <w:t>12100000466007458M</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地  址：</w:t>
            </w:r>
            <w:bookmarkStart w:id="57" w:name="_Hlk10214471"/>
            <w:r>
              <w:rPr>
                <w:rFonts w:hint="eastAsia" w:ascii="仿宋" w:hAnsi="仿宋" w:eastAsia="仿宋"/>
                <w:color w:val="000000"/>
                <w:sz w:val="24"/>
                <w:szCs w:val="24"/>
                <w:highlight w:val="none"/>
              </w:rPr>
              <w:t>南京市栖霞区仙林大道</w:t>
            </w:r>
            <w:r>
              <w:rPr>
                <w:rFonts w:ascii="仿宋" w:hAnsi="仿宋" w:eastAsia="仿宋"/>
                <w:color w:val="000000"/>
                <w:sz w:val="24"/>
                <w:szCs w:val="24"/>
                <w:highlight w:val="none"/>
              </w:rPr>
              <w:t>163号</w:t>
            </w:r>
            <w:bookmarkEnd w:id="57"/>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邮政编码：210023</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电  话：</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传  真：</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开户银行：</w:t>
            </w:r>
            <w:r>
              <w:rPr>
                <w:rFonts w:hint="eastAsia" w:ascii="仿宋" w:hAnsi="仿宋" w:eastAsia="仿宋"/>
                <w:color w:val="000000"/>
                <w:sz w:val="24"/>
                <w:szCs w:val="24"/>
                <w:highlight w:val="none"/>
              </w:rPr>
              <w:t>工行汉口路支行</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账  号：4301011309001041656</w:t>
            </w:r>
          </w:p>
        </w:tc>
        <w:tc>
          <w:tcPr>
            <w:tcW w:w="4620" w:type="dxa"/>
            <w:shd w:val="clear" w:color="auto" w:fill="auto"/>
          </w:tcPr>
          <w:p>
            <w:pPr>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承包人</w:t>
            </w:r>
            <w:r>
              <w:rPr>
                <w:rFonts w:hint="eastAsia" w:ascii="仿宋" w:hAnsi="仿宋" w:eastAsia="仿宋"/>
                <w:color w:val="000000"/>
                <w:sz w:val="24"/>
                <w:szCs w:val="24"/>
                <w:highlight w:val="none"/>
              </w:rPr>
              <w:t xml:space="preserve">：  </w:t>
            </w:r>
            <w:r>
              <w:rPr>
                <w:rFonts w:ascii="仿宋" w:hAnsi="仿宋" w:eastAsia="仿宋"/>
                <w:color w:val="000000"/>
                <w:sz w:val="24"/>
                <w:szCs w:val="24"/>
                <w:highlight w:val="none"/>
              </w:rPr>
              <w:t>(公章)</w:t>
            </w:r>
          </w:p>
          <w:p>
            <w:pPr>
              <w:adjustRightInd w:val="0"/>
              <w:snapToGrid w:val="0"/>
              <w:spacing w:line="400" w:lineRule="exact"/>
              <w:rPr>
                <w:rFonts w:ascii="仿宋" w:hAnsi="仿宋" w:eastAsia="仿宋"/>
                <w:color w:val="000000"/>
                <w:sz w:val="24"/>
                <w:szCs w:val="24"/>
                <w:highlight w:val="none"/>
              </w:rPr>
            </w:pP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法定代表人或其委托代理人：</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（签字）</w:t>
            </w:r>
          </w:p>
          <w:p>
            <w:pPr>
              <w:adjustRightInd w:val="0"/>
              <w:snapToGrid w:val="0"/>
              <w:spacing w:line="400" w:lineRule="exact"/>
              <w:rPr>
                <w:rFonts w:ascii="仿宋" w:hAnsi="仿宋" w:eastAsia="仿宋"/>
                <w:color w:val="000000"/>
                <w:sz w:val="24"/>
                <w:szCs w:val="24"/>
                <w:highlight w:val="none"/>
              </w:rPr>
            </w:pP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组织机构代码：</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 xml:space="preserve">地  址： </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邮政编码：</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电  话：</w:t>
            </w:r>
          </w:p>
          <w:p>
            <w:pPr>
              <w:adjustRightInd w:val="0"/>
              <w:snapToGrid w:val="0"/>
              <w:spacing w:line="400" w:lineRule="exact"/>
              <w:rPr>
                <w:rFonts w:ascii="仿宋" w:hAnsi="仿宋" w:eastAsia="仿宋"/>
                <w:color w:val="000000"/>
                <w:sz w:val="24"/>
                <w:szCs w:val="24"/>
                <w:highlight w:val="none"/>
              </w:rPr>
            </w:pPr>
            <w:r>
              <w:rPr>
                <w:rFonts w:hint="eastAsia" w:ascii="仿宋" w:hAnsi="仿宋" w:eastAsia="仿宋"/>
                <w:color w:val="000000"/>
                <w:sz w:val="24"/>
                <w:szCs w:val="24"/>
                <w:highlight w:val="none"/>
              </w:rPr>
              <w:t>传  真：</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 xml:space="preserve">开户银行： </w:t>
            </w:r>
          </w:p>
          <w:p>
            <w:pPr>
              <w:adjustRightInd w:val="0"/>
              <w:snapToGrid w:val="0"/>
              <w:spacing w:line="400" w:lineRule="exact"/>
              <w:rPr>
                <w:rFonts w:ascii="仿宋" w:hAnsi="仿宋" w:eastAsia="仿宋"/>
                <w:color w:val="000000"/>
                <w:sz w:val="24"/>
                <w:szCs w:val="24"/>
                <w:highlight w:val="none"/>
              </w:rPr>
            </w:pPr>
            <w:r>
              <w:rPr>
                <w:rFonts w:ascii="仿宋" w:hAnsi="仿宋" w:eastAsia="仿宋"/>
                <w:color w:val="000000"/>
                <w:sz w:val="24"/>
                <w:szCs w:val="24"/>
                <w:highlight w:val="none"/>
              </w:rPr>
              <w:t>账  号：</w:t>
            </w:r>
            <w:r>
              <w:rPr>
                <w:rFonts w:hint="eastAsia" w:ascii="仿宋" w:hAnsi="仿宋" w:eastAsia="仿宋"/>
                <w:color w:val="000000"/>
                <w:sz w:val="24"/>
                <w:szCs w:val="24"/>
                <w:highlight w:val="none"/>
              </w:rPr>
              <w:t xml:space="preserve"> </w:t>
            </w:r>
          </w:p>
        </w:tc>
      </w:tr>
    </w:tbl>
    <w:p>
      <w:pPr>
        <w:adjustRightInd w:val="0"/>
        <w:snapToGrid w:val="0"/>
        <w:spacing w:line="400" w:lineRule="exact"/>
        <w:jc w:val="center"/>
        <w:rPr>
          <w:rFonts w:ascii="仿宋" w:hAnsi="仿宋" w:eastAsia="仿宋"/>
          <w:b/>
          <w:color w:val="000000"/>
          <w:sz w:val="30"/>
          <w:szCs w:val="30"/>
          <w:highlight w:val="none"/>
        </w:rPr>
      </w:pPr>
      <w:r>
        <w:rPr>
          <w:rFonts w:ascii="华文中宋" w:hAnsi="华文中宋" w:eastAsia="华文中宋"/>
          <w:b/>
          <w:color w:val="000000"/>
          <w:sz w:val="32"/>
          <w:szCs w:val="32"/>
          <w:highlight w:val="none"/>
        </w:rPr>
        <w:br w:type="page"/>
      </w:r>
      <w:r>
        <w:rPr>
          <w:rFonts w:hint="eastAsia" w:ascii="仿宋" w:hAnsi="仿宋" w:eastAsia="仿宋"/>
          <w:b/>
          <w:color w:val="000000"/>
          <w:sz w:val="30"/>
          <w:szCs w:val="30"/>
          <w:highlight w:val="none"/>
        </w:rPr>
        <w:t>第二部分 通用合同条款</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此部分采用《建设工程施工合同》示范文本（GF-2017-0201）中《第二部分 通用合同条款》</w:t>
      </w:r>
    </w:p>
    <w:p>
      <w:pPr>
        <w:adjustRightInd w:val="0"/>
        <w:snapToGrid w:val="0"/>
        <w:spacing w:line="400" w:lineRule="exact"/>
        <w:jc w:val="center"/>
        <w:rPr>
          <w:rFonts w:ascii="仿宋" w:hAnsi="仿宋" w:eastAsia="仿宋"/>
          <w:color w:val="000000"/>
          <w:sz w:val="30"/>
          <w:szCs w:val="30"/>
          <w:highlight w:val="none"/>
        </w:rPr>
      </w:pPr>
      <w:r>
        <w:rPr>
          <w:rFonts w:hint="eastAsia" w:ascii="仿宋" w:hAnsi="仿宋" w:eastAsia="仿宋"/>
          <w:b/>
          <w:color w:val="000000"/>
          <w:sz w:val="30"/>
          <w:szCs w:val="30"/>
          <w:highlight w:val="none"/>
        </w:rPr>
        <w:t>第三部分 专用合同条款</w:t>
      </w:r>
    </w:p>
    <w:p>
      <w:pPr>
        <w:adjustRightInd w:val="0"/>
        <w:snapToGrid w:val="0"/>
        <w:spacing w:line="400" w:lineRule="exact"/>
        <w:ind w:firstLine="482" w:firstLineChars="200"/>
        <w:rPr>
          <w:rFonts w:ascii="仿宋_GB2312" w:eastAsia="仿宋_GB2312"/>
          <w:b/>
          <w:bCs/>
          <w:color w:val="000000"/>
          <w:sz w:val="24"/>
          <w:highlight w:val="none"/>
        </w:rPr>
      </w:pPr>
      <w:r>
        <w:rPr>
          <w:rFonts w:hint="eastAsia" w:ascii="仿宋_GB2312" w:eastAsia="仿宋_GB2312"/>
          <w:b/>
          <w:bCs/>
          <w:color w:val="000000"/>
          <w:sz w:val="24"/>
          <w:highlight w:val="none"/>
        </w:rPr>
        <w:t>一、一般约定</w:t>
      </w:r>
    </w:p>
    <w:p>
      <w:pPr>
        <w:adjustRightInd w:val="0"/>
        <w:snapToGrid w:val="0"/>
        <w:spacing w:line="400" w:lineRule="exact"/>
        <w:ind w:firstLine="480" w:firstLineChars="200"/>
        <w:rPr>
          <w:rFonts w:ascii="仿宋_GB2312" w:eastAsia="仿宋_GB2312"/>
          <w:bCs/>
          <w:color w:val="000000"/>
          <w:sz w:val="24"/>
          <w:highlight w:val="none"/>
        </w:rPr>
      </w:pPr>
      <w:r>
        <w:rPr>
          <w:rFonts w:hint="eastAsia" w:ascii="仿宋_GB2312" w:eastAsia="仿宋_GB2312"/>
          <w:bCs/>
          <w:color w:val="000000"/>
          <w:sz w:val="24"/>
          <w:highlight w:val="none"/>
        </w:rPr>
        <w:t>1.1适用法律、标准及规范</w:t>
      </w:r>
    </w:p>
    <w:p>
      <w:pPr>
        <w:adjustRightInd w:val="0"/>
        <w:snapToGrid w:val="0"/>
        <w:spacing w:line="400" w:lineRule="exact"/>
        <w:ind w:firstLine="480" w:firstLineChars="200"/>
        <w:rPr>
          <w:rFonts w:ascii="仿宋_GB2312" w:eastAsia="仿宋_GB2312"/>
          <w:bCs/>
          <w:color w:val="000000"/>
          <w:sz w:val="24"/>
          <w:highlight w:val="none"/>
        </w:rPr>
      </w:pPr>
      <w:r>
        <w:rPr>
          <w:rFonts w:hint="eastAsia" w:ascii="仿宋_GB2312" w:eastAsia="仿宋_GB2312"/>
          <w:bCs/>
          <w:color w:val="000000"/>
          <w:sz w:val="24"/>
          <w:highlight w:val="none"/>
        </w:rPr>
        <w:t>1.1.1适用法律和法规：</w:t>
      </w:r>
      <w:r>
        <w:rPr>
          <w:rFonts w:hint="eastAsia" w:ascii="仿宋_GB2312" w:eastAsia="仿宋_GB2312"/>
          <w:bCs/>
          <w:color w:val="000000"/>
          <w:sz w:val="24"/>
          <w:highlight w:val="none"/>
          <w:u w:val="single"/>
        </w:rPr>
        <w:t>现行的国家法律和行政法规，工程所在地政府的有关法规和规章</w:t>
      </w:r>
      <w:r>
        <w:rPr>
          <w:rFonts w:hint="eastAsia" w:ascii="仿宋_GB2312" w:eastAsia="仿宋_GB2312"/>
          <w:bCs/>
          <w:color w:val="000000"/>
          <w:sz w:val="24"/>
          <w:highlight w:val="none"/>
        </w:rPr>
        <w:t>。</w:t>
      </w:r>
    </w:p>
    <w:p>
      <w:pPr>
        <w:adjustRightInd w:val="0"/>
        <w:snapToGrid w:val="0"/>
        <w:spacing w:line="400" w:lineRule="exact"/>
        <w:ind w:left="482"/>
        <w:rPr>
          <w:rFonts w:ascii="仿宋_GB2312" w:eastAsia="仿宋_GB2312"/>
          <w:bCs/>
          <w:color w:val="000000"/>
          <w:sz w:val="24"/>
          <w:highlight w:val="none"/>
        </w:rPr>
      </w:pPr>
      <w:r>
        <w:rPr>
          <w:rFonts w:hint="eastAsia" w:ascii="仿宋_GB2312" w:eastAsia="仿宋_GB2312"/>
          <w:bCs/>
          <w:color w:val="000000"/>
          <w:sz w:val="24"/>
          <w:highlight w:val="none"/>
        </w:rPr>
        <w:t>1.1.2适用标准、规范：</w:t>
      </w:r>
      <w:r>
        <w:rPr>
          <w:rFonts w:hint="eastAsia" w:ascii="仿宋_GB2312" w:eastAsia="仿宋_GB2312"/>
          <w:bCs/>
          <w:color w:val="000000"/>
          <w:sz w:val="24"/>
          <w:highlight w:val="none"/>
          <w:u w:val="single"/>
        </w:rPr>
        <w:t>现行的国家和地方标准、规范、行业标准、规范等</w:t>
      </w:r>
      <w:r>
        <w:rPr>
          <w:rFonts w:hint="eastAsia" w:ascii="仿宋_GB2312" w:eastAsia="仿宋_GB2312"/>
          <w:bCs/>
          <w:color w:val="000000"/>
          <w:sz w:val="24"/>
          <w:highlight w:val="none"/>
        </w:rPr>
        <w:t>。</w:t>
      </w:r>
    </w:p>
    <w:p>
      <w:pPr>
        <w:adjustRightInd w:val="0"/>
        <w:snapToGrid w:val="0"/>
        <w:spacing w:line="400" w:lineRule="exact"/>
        <w:ind w:left="482"/>
        <w:rPr>
          <w:rFonts w:ascii="仿宋_GB2312" w:eastAsia="仿宋_GB2312"/>
          <w:bCs/>
          <w:color w:val="000000"/>
          <w:sz w:val="24"/>
          <w:highlight w:val="none"/>
        </w:rPr>
      </w:pPr>
      <w:r>
        <w:rPr>
          <w:rFonts w:hint="eastAsia" w:ascii="仿宋_GB2312" w:eastAsia="仿宋_GB2312"/>
          <w:bCs/>
          <w:color w:val="000000"/>
          <w:sz w:val="24"/>
          <w:highlight w:val="none"/>
        </w:rPr>
        <w:t>1.1.3国内没有相应标准、规范时的约定：</w:t>
      </w:r>
      <w:r>
        <w:rPr>
          <w:rFonts w:hint="eastAsia" w:ascii="仿宋_GB2312" w:eastAsia="仿宋_GB2312"/>
          <w:bCs/>
          <w:color w:val="000000"/>
          <w:sz w:val="24"/>
          <w:highlight w:val="none"/>
          <w:u w:val="single"/>
        </w:rPr>
        <w:t>按行业标准或施工企业标准</w:t>
      </w:r>
      <w:r>
        <w:rPr>
          <w:rFonts w:hint="eastAsia" w:ascii="仿宋_GB2312" w:eastAsia="仿宋_GB2312"/>
          <w:bCs/>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bCs/>
          <w:color w:val="000000"/>
          <w:sz w:val="24"/>
          <w:highlight w:val="none"/>
        </w:rPr>
        <w:t>1.2.合同文件及优先顺序：</w:t>
      </w:r>
      <w:r>
        <w:rPr>
          <w:rFonts w:hint="eastAsia" w:ascii="仿宋_GB2312" w:eastAsia="仿宋_GB2312"/>
          <w:bCs/>
          <w:color w:val="000000"/>
          <w:sz w:val="24"/>
          <w:highlight w:val="none"/>
          <w:u w:val="single"/>
        </w:rPr>
        <w:t>合同协议书；明确双方权利、义务的纪要、协议；中标通知书（如果有）；</w:t>
      </w:r>
      <w:r>
        <w:rPr>
          <w:rFonts w:hint="eastAsia" w:ascii="仿宋_GB2312" w:eastAsia="仿宋_GB2312"/>
          <w:color w:val="000000"/>
          <w:sz w:val="24"/>
          <w:highlight w:val="none"/>
          <w:u w:val="single"/>
        </w:rPr>
        <w:t>投标函及其附录（如果有）；专用合同条款及其附件；补充协议（包括承诺书）；通用合同条款；响应文件、询价文件；图纸；已标价工程量清单或预算书；技术标准和要求；其他合同文件</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1.3.图纸和承包人文件</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1.3.1发包人向承包人提供图纸期限和数量：</w:t>
      </w:r>
      <w:r>
        <w:rPr>
          <w:rFonts w:hint="eastAsia" w:ascii="仿宋_GB2312" w:eastAsia="仿宋_GB2312"/>
          <w:color w:val="000000"/>
          <w:sz w:val="24"/>
          <w:highlight w:val="none"/>
          <w:u w:val="single"/>
        </w:rPr>
        <w:t>开工前提供2套</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1.3.2发包人对图纸的保密要求：</w:t>
      </w:r>
      <w:r>
        <w:rPr>
          <w:rFonts w:hint="eastAsia" w:ascii="仿宋_GB2312" w:eastAsia="仿宋_GB2312"/>
          <w:color w:val="000000"/>
          <w:sz w:val="24"/>
          <w:highlight w:val="none"/>
          <w:u w:val="single"/>
        </w:rPr>
        <w:t>除施工单位及审计单位外，不得向其它单位或个人泄露</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1.3.3需要由承包人提供的文件，包括：</w:t>
      </w:r>
      <w:r>
        <w:rPr>
          <w:rFonts w:hint="eastAsia" w:ascii="仿宋_GB2312" w:eastAsia="仿宋_GB2312"/>
          <w:color w:val="000000"/>
          <w:sz w:val="24"/>
          <w:highlight w:val="none"/>
          <w:u w:val="single"/>
        </w:rPr>
        <w:t>施工总进度计划、月进度计划、周进度计划、甲供材采购计划及发包人要求提供</w:t>
      </w:r>
      <w:r>
        <w:rPr>
          <w:rFonts w:hint="eastAsia" w:ascii="仿宋_GB2312" w:eastAsia="仿宋_GB2312"/>
          <w:sz w:val="24"/>
          <w:highlight w:val="none"/>
          <w:u w:val="single"/>
        </w:rPr>
        <w:t>的合理范围内的其他文件资料</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1.3.4承包人提供文件的期限为：</w:t>
      </w:r>
      <w:r>
        <w:rPr>
          <w:rFonts w:hint="eastAsia" w:ascii="仿宋_GB2312" w:eastAsia="仿宋_GB2312"/>
          <w:sz w:val="24"/>
          <w:highlight w:val="none"/>
          <w:u w:val="single"/>
        </w:rPr>
        <w:t>合同签订后7日内提供施工总进度计划；每月5日前提供上月已完工程量报表（含变更及签证预算）、每月25日前提供下月详细的施工进度计划等资料；甲供材采购计划应至少提前一个月提交至发包人（甲供材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1.3.5承包人提供文件的形式和数量：</w:t>
      </w:r>
      <w:r>
        <w:rPr>
          <w:rFonts w:hint="eastAsia" w:ascii="仿宋_GB2312" w:eastAsia="仿宋_GB2312"/>
          <w:sz w:val="24"/>
          <w:highlight w:val="none"/>
          <w:u w:val="single"/>
        </w:rPr>
        <w:t>书面文件2套</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1.4工程量清单错误的修正</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1.4.1出现工程量清单错误时，是否调整合同价格：</w:t>
      </w:r>
      <w:r>
        <w:rPr>
          <w:rFonts w:hint="eastAsia" w:ascii="仿宋_GB2312" w:eastAsia="仿宋_GB2312"/>
          <w:sz w:val="24"/>
          <w:highlight w:val="none"/>
          <w:u w:val="single"/>
        </w:rPr>
        <w:t>工程量清单有缺项和漏项按</w:t>
      </w:r>
      <w:r>
        <w:rPr>
          <w:rFonts w:ascii="仿宋_GB2312" w:eastAsia="仿宋_GB2312"/>
          <w:sz w:val="24"/>
          <w:highlight w:val="none"/>
          <w:u w:val="single"/>
        </w:rPr>
        <w:t>7.1.3</w:t>
      </w:r>
      <w:r>
        <w:rPr>
          <w:rFonts w:hint="eastAsia" w:ascii="仿宋_GB2312" w:eastAsia="仿宋_GB2312"/>
          <w:sz w:val="24"/>
          <w:highlight w:val="none"/>
          <w:u w:val="single"/>
        </w:rPr>
        <w:t>调整</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1.4.2允许调整合同价格的工程量偏差范围：</w:t>
      </w:r>
      <w:r>
        <w:rPr>
          <w:rFonts w:hint="eastAsia" w:ascii="仿宋_GB2312" w:eastAsia="仿宋_GB2312"/>
          <w:sz w:val="24"/>
          <w:highlight w:val="none"/>
          <w:u w:val="single"/>
        </w:rPr>
        <w:t>工程量清单偏差调整按分部分项单项工程量变更超过15%，并且该项分部分项工程费超过总分部分项工程费的1%的</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color w:val="000000"/>
          <w:sz w:val="24"/>
          <w:highlight w:val="none"/>
        </w:rPr>
      </w:pPr>
      <w:r>
        <w:rPr>
          <w:rFonts w:hint="eastAsia" w:ascii="仿宋_GB2312" w:eastAsia="仿宋_GB2312"/>
          <w:b/>
          <w:bCs/>
          <w:color w:val="000000"/>
          <w:sz w:val="24"/>
          <w:highlight w:val="none"/>
        </w:rPr>
        <w:t>二、合同当事人及其他相关方一般权利和义务</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2.1发包人</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2.1.1发包人代表</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（1）发包人代表姓名：</w:t>
      </w:r>
      <w:r>
        <w:rPr>
          <w:rFonts w:hint="eastAsia" w:ascii="仿宋_GB2312" w:eastAsia="仿宋_GB2312"/>
          <w:sz w:val="24"/>
          <w:highlight w:val="none"/>
          <w:u w:val="single"/>
        </w:rPr>
        <w:t xml:space="preserve">       </w:t>
      </w:r>
      <w:r>
        <w:rPr>
          <w:rFonts w:hint="eastAsia" w:ascii="仿宋_GB2312" w:eastAsia="仿宋_GB2312"/>
          <w:sz w:val="24"/>
          <w:highlight w:val="none"/>
        </w:rPr>
        <w:t>，联系电话：</w:t>
      </w:r>
      <w:r>
        <w:rPr>
          <w:rFonts w:hint="eastAsia" w:ascii="仿宋_GB2312" w:eastAsia="仿宋_GB2312"/>
          <w:sz w:val="24"/>
          <w:highlight w:val="none"/>
          <w:u w:val="single"/>
        </w:rPr>
        <w:t xml:space="preserve">            </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（2）发包人对发包人代表的授权如下：</w:t>
      </w:r>
      <w:r>
        <w:rPr>
          <w:rFonts w:hint="eastAsia" w:ascii="仿宋_GB2312" w:eastAsia="仿宋_GB2312"/>
          <w:sz w:val="24"/>
          <w:highlight w:val="none"/>
          <w:u w:val="single"/>
        </w:rPr>
        <w:t>工程量变更签证、工期顺延签证、向承包人支付的各种款项、分包单位的确认等发包人行使的权利和义务。本合同实施过程中，所有应由承包人负责又需发包人派驻代表/监理审批或确认的事项均不能免除或减轻承包人应负的合同责任</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u w:val="single"/>
        </w:rPr>
        <w:t>（3）除发包人代表外，发包人派驻工地的其他人员无权向承包人发出任何指令</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bCs/>
          <w:color w:val="000000"/>
          <w:sz w:val="24"/>
          <w:highlight w:val="none"/>
        </w:rPr>
      </w:pPr>
      <w:r>
        <w:rPr>
          <w:rFonts w:hint="eastAsia" w:ascii="仿宋_GB2312" w:eastAsia="仿宋_GB2312"/>
          <w:sz w:val="24"/>
          <w:highlight w:val="none"/>
          <w:u w:val="single"/>
        </w:rPr>
        <w:t>（4）发包人代表的指令、通知由其本人签字后，以书面形式发出。确有必要时，发包人代表可以发出口头指令，并在72小时内给予书面确认，承包人对发包人代表的</w:t>
      </w:r>
      <w:r>
        <w:rPr>
          <w:rFonts w:hint="eastAsia" w:ascii="仿宋_GB2312" w:eastAsia="仿宋_GB2312"/>
          <w:color w:val="000000"/>
          <w:sz w:val="24"/>
          <w:highlight w:val="none"/>
          <w:u w:val="single"/>
        </w:rPr>
        <w:t>指令应予执行。发包人代表不能及时给予书面确认的，承包人应于发包人代表发出口头指令后7日内提出书面确认要求。发包人代表在承包人提出确认要求后48小时内不予答复的，视为口头指令已被确认</w:t>
      </w:r>
      <w:r>
        <w:rPr>
          <w:rFonts w:hint="eastAsia" w:ascii="仿宋_GB2312" w:eastAsia="仿宋_GB2312"/>
          <w:color w:val="000000"/>
          <w:sz w:val="24"/>
          <w:highlight w:val="none"/>
        </w:rPr>
        <w:t>。</w:t>
      </w:r>
    </w:p>
    <w:p>
      <w:pPr>
        <w:adjustRightInd w:val="0"/>
        <w:snapToGrid w:val="0"/>
        <w:spacing w:line="400" w:lineRule="exact"/>
        <w:ind w:left="482"/>
        <w:rPr>
          <w:rFonts w:ascii="仿宋_GB2312" w:eastAsia="仿宋_GB2312"/>
          <w:bCs/>
          <w:color w:val="000000"/>
          <w:sz w:val="24"/>
          <w:highlight w:val="none"/>
        </w:rPr>
      </w:pPr>
      <w:r>
        <w:rPr>
          <w:rFonts w:hint="eastAsia" w:ascii="仿宋_GB2312" w:eastAsia="仿宋_GB2312"/>
          <w:bCs/>
          <w:color w:val="000000"/>
          <w:sz w:val="24"/>
          <w:highlight w:val="none"/>
        </w:rPr>
        <w:t>2.1.2发包人的一般义务</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（1）发包人移交施工现场的期限要求：</w:t>
      </w:r>
      <w:r>
        <w:rPr>
          <w:rFonts w:hint="eastAsia" w:ascii="仿宋_GB2312" w:eastAsia="仿宋_GB2312"/>
          <w:color w:val="000000"/>
          <w:sz w:val="24"/>
          <w:highlight w:val="none"/>
          <w:u w:val="single"/>
        </w:rPr>
        <w:t>发包人在开工前保证施工现场具备开工条件，若有不全事项，承包人自行完善，费用已包含在报价中</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（2）将施工所需的水、电线路接至施工场地的时间、地点和供应要求：</w:t>
      </w:r>
    </w:p>
    <w:p>
      <w:pPr>
        <w:adjustRightInd w:val="0"/>
        <w:snapToGrid w:val="0"/>
        <w:spacing w:line="400" w:lineRule="exact"/>
        <w:ind w:firstLine="720" w:firstLineChars="300"/>
        <w:rPr>
          <w:rFonts w:ascii="仿宋_GB2312" w:eastAsia="仿宋_GB2312"/>
          <w:color w:val="000000"/>
          <w:sz w:val="24"/>
          <w:highlight w:val="none"/>
          <w:u w:val="single"/>
        </w:rPr>
      </w:pPr>
      <w:r>
        <w:rPr>
          <w:rFonts w:hint="eastAsia" w:ascii="仿宋_GB2312" w:eastAsia="仿宋_GB2312"/>
          <w:color w:val="000000"/>
          <w:sz w:val="24"/>
          <w:highlight w:val="none"/>
        </w:rPr>
        <w:t>①</w:t>
      </w:r>
      <w:r>
        <w:rPr>
          <w:rFonts w:hint="eastAsia" w:ascii="仿宋_GB2312" w:eastAsia="仿宋_GB2312"/>
          <w:color w:val="000000"/>
          <w:sz w:val="24"/>
          <w:highlight w:val="none"/>
          <w:u w:val="single"/>
        </w:rPr>
        <w:t>开工前，发包人将水、电由接至施工现场并提供临时水、电接口；承包人在发包人指定位置安装水、电表，并接出符合安全要求的供电电缆、供水管线至施工区域。工程所需水、电全部费用均由承包人承担，配电箱、电表、水表由承包人自备</w:t>
      </w:r>
      <w:r>
        <w:rPr>
          <w:rFonts w:hint="eastAsia" w:ascii="仿宋_GB2312" w:eastAsia="仿宋_GB2312"/>
          <w:color w:val="000000"/>
          <w:sz w:val="24"/>
          <w:highlight w:val="none"/>
        </w:rPr>
        <w:t>。</w:t>
      </w:r>
    </w:p>
    <w:p>
      <w:pPr>
        <w:adjustRightInd w:val="0"/>
        <w:snapToGrid w:val="0"/>
        <w:spacing w:line="400" w:lineRule="exact"/>
        <w:ind w:firstLine="720" w:firstLineChars="300"/>
        <w:rPr>
          <w:rFonts w:ascii="仿宋_GB2312" w:eastAsia="仿宋_GB2312"/>
          <w:color w:val="000000"/>
          <w:sz w:val="24"/>
          <w:highlight w:val="none"/>
          <w:u w:val="single"/>
        </w:rPr>
      </w:pPr>
      <w:r>
        <w:rPr>
          <w:rFonts w:hint="eastAsia" w:ascii="仿宋_GB2312" w:eastAsia="仿宋_GB2312"/>
          <w:color w:val="000000"/>
          <w:sz w:val="24"/>
          <w:highlight w:val="none"/>
        </w:rPr>
        <w:t>②</w:t>
      </w:r>
      <w:r>
        <w:rPr>
          <w:rFonts w:hint="eastAsia" w:ascii="仿宋_GB2312" w:eastAsia="仿宋_GB2312"/>
          <w:color w:val="000000"/>
          <w:sz w:val="24"/>
          <w:highlight w:val="none"/>
          <w:u w:val="single"/>
        </w:rPr>
        <w:t>承包人负责水电管理，确保现场接电、接水以及相关安全事宜</w:t>
      </w:r>
      <w:r>
        <w:rPr>
          <w:rFonts w:hint="eastAsia" w:ascii="仿宋_GB2312" w:eastAsia="仿宋_GB2312"/>
          <w:color w:val="000000"/>
          <w:sz w:val="24"/>
          <w:highlight w:val="none"/>
        </w:rPr>
        <w:t>。</w:t>
      </w:r>
    </w:p>
    <w:p>
      <w:pPr>
        <w:adjustRightInd w:val="0"/>
        <w:snapToGrid w:val="0"/>
        <w:spacing w:line="400" w:lineRule="exact"/>
        <w:ind w:firstLine="720" w:firstLineChars="300"/>
        <w:rPr>
          <w:rFonts w:ascii="仿宋_GB2312" w:eastAsia="仿宋_GB2312"/>
          <w:color w:val="000000"/>
          <w:sz w:val="24"/>
          <w:highlight w:val="none"/>
          <w:u w:val="single"/>
        </w:rPr>
      </w:pPr>
      <w:r>
        <w:rPr>
          <w:rFonts w:hint="eastAsia" w:ascii="仿宋_GB2312" w:eastAsia="仿宋_GB2312"/>
          <w:color w:val="000000"/>
          <w:sz w:val="24"/>
          <w:highlight w:val="none"/>
        </w:rPr>
        <w:t>③</w:t>
      </w:r>
      <w:r>
        <w:rPr>
          <w:rFonts w:hint="eastAsia" w:ascii="仿宋_GB2312" w:eastAsia="仿宋_GB2312"/>
          <w:color w:val="000000"/>
          <w:sz w:val="24"/>
          <w:highlight w:val="none"/>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（3）施工场地与公共道路通道开通时间和要求：</w:t>
      </w:r>
      <w:r>
        <w:rPr>
          <w:rFonts w:hint="eastAsia" w:ascii="仿宋_GB2312" w:eastAsia="仿宋_GB2312"/>
          <w:color w:val="000000"/>
          <w:sz w:val="24"/>
          <w:highlight w:val="none"/>
          <w:u w:val="single"/>
        </w:rPr>
        <w:t>按现有道路使用</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（4）协调处理施工场地周围地下管线和邻近建筑物、构筑物（含文物保护建筑）、古树名木的保护工作：</w:t>
      </w:r>
      <w:r>
        <w:rPr>
          <w:rFonts w:hint="eastAsia" w:ascii="仿宋_GB2312" w:eastAsia="仿宋_GB2312"/>
          <w:color w:val="000000"/>
          <w:sz w:val="24"/>
          <w:highlight w:val="none"/>
          <w:u w:val="single"/>
        </w:rPr>
        <w:t>发包人与相关部门协调处理，承包人积极配合</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2.2承包人</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2.2.1项目经理</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（1）项目经理姓名：</w:t>
      </w:r>
      <w:r>
        <w:rPr>
          <w:rFonts w:hint="eastAsia" w:ascii="仿宋_GB2312" w:eastAsia="仿宋_GB2312"/>
          <w:sz w:val="24"/>
          <w:highlight w:val="none"/>
          <w:u w:val="single"/>
        </w:rPr>
        <w:t xml:space="preserve">      </w:t>
      </w:r>
      <w:r>
        <w:rPr>
          <w:rFonts w:hint="eastAsia" w:ascii="仿宋_GB2312" w:eastAsia="仿宋_GB2312"/>
          <w:sz w:val="24"/>
          <w:highlight w:val="none"/>
        </w:rPr>
        <w:t>，联系电话：</w:t>
      </w:r>
      <w:r>
        <w:rPr>
          <w:rFonts w:hint="eastAsia" w:ascii="仿宋_GB2312" w:eastAsia="仿宋_GB2312"/>
          <w:sz w:val="24"/>
          <w:highlight w:val="none"/>
          <w:u w:val="single"/>
        </w:rPr>
        <w:t xml:space="preserve">         </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（2）承包人对项目经理的授权范围如下：</w:t>
      </w:r>
      <w:r>
        <w:rPr>
          <w:rFonts w:hint="eastAsia" w:ascii="仿宋_GB2312" w:eastAsia="仿宋_GB2312"/>
          <w:sz w:val="24"/>
          <w:highlight w:val="none"/>
          <w:u w:val="single"/>
        </w:rPr>
        <w:t>作为承包人在项目的授权代表，全面履行工程项目的承包管理职责，为工程参与各方做好协调和服务，在资金、质量、安全、环境保护、文明施工等合约目标范围向发包人直接负责</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（3）关于项目经理每月在施工现场的时间要求：</w:t>
      </w:r>
      <w:r>
        <w:rPr>
          <w:rFonts w:hint="eastAsia" w:ascii="仿宋_GB2312" w:eastAsia="仿宋_GB2312"/>
          <w:sz w:val="24"/>
          <w:highlight w:val="none"/>
          <w:u w:val="single"/>
        </w:rPr>
        <w:t>项目经理本人每天至少8小时，每周不少于5天在本工程现场工作，且必须参加工地例会，离开工地需经发包人及总监理工程师同意后方可离开</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（4）项目经理未经批准，擅自离开施工现场的违约责任：</w:t>
      </w:r>
      <w:r>
        <w:rPr>
          <w:rFonts w:hint="eastAsia" w:ascii="仿宋_GB2312" w:eastAsia="仿宋_GB2312"/>
          <w:sz w:val="24"/>
          <w:highlight w:val="none"/>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w:t>
      </w:r>
      <w:r>
        <w:rPr>
          <w:rFonts w:hint="eastAsia" w:ascii="仿宋_GB2312" w:eastAsia="仿宋_GB2312"/>
          <w:color w:val="000000"/>
          <w:sz w:val="24"/>
          <w:highlight w:val="none"/>
          <w:u w:val="single"/>
        </w:rPr>
        <w:t>承包人若因工程质量、安全管理、进度管理、文明管理等原因而导致项目经理被责令更换的，由承包人按合同总价款的2%/人次向发包人支付违约金</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2.2.2承包人的一般义务</w:t>
      </w:r>
    </w:p>
    <w:p>
      <w:pPr>
        <w:adjustRightInd w:val="0"/>
        <w:snapToGrid w:val="0"/>
        <w:spacing w:line="400" w:lineRule="exact"/>
        <w:ind w:firstLine="480" w:firstLineChars="200"/>
        <w:rPr>
          <w:rFonts w:ascii="仿宋_GB2312" w:eastAsia="仿宋_GB2312"/>
          <w:bCs/>
          <w:sz w:val="24"/>
          <w:highlight w:val="none"/>
        </w:rPr>
      </w:pPr>
      <w:r>
        <w:rPr>
          <w:rFonts w:hint="eastAsia" w:ascii="仿宋_GB2312" w:eastAsia="仿宋_GB2312"/>
          <w:bCs/>
          <w:sz w:val="24"/>
          <w:highlight w:val="none"/>
        </w:rPr>
        <w:t>（1）承担施工安全保卫工作及非夜间施工照明的责任和要求：</w:t>
      </w:r>
      <w:r>
        <w:rPr>
          <w:rFonts w:hint="eastAsia" w:ascii="仿宋_GB2312" w:eastAsia="仿宋_GB2312"/>
          <w:bCs/>
          <w:sz w:val="24"/>
          <w:highlight w:val="none"/>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hint="eastAsia" w:ascii="仿宋_GB2312" w:eastAsia="仿宋_GB2312"/>
          <w:bCs/>
          <w:sz w:val="24"/>
          <w:highlight w:val="none"/>
        </w:rPr>
        <w:t>。</w:t>
      </w:r>
    </w:p>
    <w:p>
      <w:pPr>
        <w:adjustRightInd w:val="0"/>
        <w:snapToGrid w:val="0"/>
        <w:spacing w:line="400" w:lineRule="exact"/>
        <w:ind w:firstLine="480" w:firstLineChars="200"/>
        <w:rPr>
          <w:rFonts w:ascii="仿宋_GB2312" w:eastAsia="仿宋_GB2312"/>
          <w:bCs/>
          <w:sz w:val="24"/>
          <w:highlight w:val="none"/>
        </w:rPr>
      </w:pPr>
      <w:r>
        <w:rPr>
          <w:rFonts w:hint="eastAsia" w:ascii="仿宋_GB2312" w:eastAsia="仿宋_GB2312"/>
          <w:bCs/>
          <w:sz w:val="24"/>
          <w:highlight w:val="none"/>
        </w:rPr>
        <w:t>（2）需承包人办理的有关施工场地交通、环卫和施工噪音管理等手续：</w:t>
      </w:r>
      <w:r>
        <w:rPr>
          <w:rFonts w:hint="eastAsia" w:ascii="仿宋_GB2312" w:eastAsia="仿宋_GB2312"/>
          <w:bCs/>
          <w:sz w:val="24"/>
          <w:highlight w:val="none"/>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hint="eastAsia" w:ascii="仿宋_GB2312" w:eastAsia="仿宋_GB2312"/>
          <w:bCs/>
          <w:sz w:val="24"/>
          <w:highlight w:val="none"/>
        </w:rPr>
        <w:t>。</w:t>
      </w:r>
    </w:p>
    <w:p>
      <w:pPr>
        <w:adjustRightInd w:val="0"/>
        <w:snapToGrid w:val="0"/>
        <w:spacing w:line="400" w:lineRule="exact"/>
        <w:ind w:firstLine="480" w:firstLineChars="200"/>
        <w:rPr>
          <w:rFonts w:ascii="仿宋_GB2312" w:eastAsia="仿宋_GB2312"/>
          <w:bCs/>
          <w:sz w:val="24"/>
          <w:highlight w:val="none"/>
        </w:rPr>
      </w:pPr>
      <w:r>
        <w:rPr>
          <w:rFonts w:hint="eastAsia" w:ascii="仿宋_GB2312" w:eastAsia="仿宋_GB2312"/>
          <w:bCs/>
          <w:color w:val="000000"/>
          <w:sz w:val="24"/>
          <w:highlight w:val="none"/>
        </w:rPr>
        <w:t>（3）施工场地周围地下管线和邻</w:t>
      </w:r>
      <w:r>
        <w:rPr>
          <w:rFonts w:hint="eastAsia" w:ascii="仿宋_GB2312" w:eastAsia="仿宋_GB2312"/>
          <w:bCs/>
          <w:sz w:val="24"/>
          <w:highlight w:val="none"/>
        </w:rPr>
        <w:t>近建筑物、构筑物(含文物保护建筑)、古树名木的保护要求及费用承担：</w:t>
      </w:r>
      <w:r>
        <w:rPr>
          <w:rFonts w:hint="eastAsia" w:ascii="仿宋_GB2312" w:eastAsia="仿宋_GB2312"/>
          <w:bCs/>
          <w:sz w:val="24"/>
          <w:highlight w:val="none"/>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hint="eastAsia" w:ascii="仿宋_GB2312" w:eastAsia="仿宋_GB2312"/>
          <w:bCs/>
          <w:sz w:val="24"/>
          <w:highlight w:val="none"/>
        </w:rPr>
        <w:t>。</w:t>
      </w:r>
    </w:p>
    <w:p>
      <w:pPr>
        <w:adjustRightInd w:val="0"/>
        <w:snapToGrid w:val="0"/>
        <w:spacing w:line="400" w:lineRule="exact"/>
        <w:ind w:firstLine="480" w:firstLineChars="200"/>
        <w:rPr>
          <w:rFonts w:ascii="仿宋_GB2312" w:eastAsia="仿宋_GB2312"/>
          <w:bCs/>
          <w:sz w:val="24"/>
          <w:highlight w:val="none"/>
        </w:rPr>
      </w:pPr>
      <w:r>
        <w:rPr>
          <w:rFonts w:hint="eastAsia" w:ascii="仿宋_GB2312" w:eastAsia="仿宋_GB2312"/>
          <w:bCs/>
          <w:sz w:val="24"/>
          <w:highlight w:val="none"/>
        </w:rPr>
        <w:t>（4）施工场地清洁卫生的要求：</w:t>
      </w:r>
      <w:r>
        <w:rPr>
          <w:rFonts w:hint="eastAsia" w:ascii="仿宋_GB2312" w:eastAsia="仿宋_GB2312"/>
          <w:bCs/>
          <w:sz w:val="24"/>
          <w:highlight w:val="none"/>
          <w:u w:val="single"/>
        </w:rPr>
        <w:t>负责与环保、城管、市容、交管、公安等政治部门的沟通、协调工作，并办理相关手续及承担相关费用。必须按发包人相关规定及有关要求的市文明现场等级进行现场文明施工管理</w:t>
      </w:r>
      <w:r>
        <w:rPr>
          <w:rFonts w:hint="eastAsia" w:ascii="仿宋_GB2312" w:eastAsia="仿宋_GB2312"/>
          <w:bCs/>
          <w:sz w:val="24"/>
          <w:highlight w:val="none"/>
        </w:rPr>
        <w:t>。</w:t>
      </w:r>
    </w:p>
    <w:p>
      <w:pPr>
        <w:adjustRightInd w:val="0"/>
        <w:snapToGrid w:val="0"/>
        <w:spacing w:line="400" w:lineRule="exact"/>
        <w:ind w:firstLine="480" w:firstLineChars="200"/>
        <w:rPr>
          <w:rFonts w:ascii="仿宋_GB2312" w:eastAsia="仿宋_GB2312"/>
          <w:bCs/>
          <w:color w:val="000000"/>
          <w:sz w:val="24"/>
          <w:highlight w:val="none"/>
        </w:rPr>
      </w:pPr>
      <w:r>
        <w:rPr>
          <w:rFonts w:hint="eastAsia" w:ascii="仿宋_GB2312" w:eastAsia="仿宋_GB2312"/>
          <w:bCs/>
          <w:sz w:val="24"/>
          <w:highlight w:val="none"/>
        </w:rPr>
        <w:t>（5）原有及已完工程成品保护的特殊要求及费用承担：</w:t>
      </w:r>
      <w:r>
        <w:rPr>
          <w:rFonts w:hint="eastAsia" w:ascii="仿宋_GB2312" w:eastAsia="仿宋_GB2312"/>
          <w:bCs/>
          <w:sz w:val="24"/>
          <w:highlight w:val="none"/>
          <w:u w:val="single"/>
        </w:rPr>
        <w:t>工程交付前非发包人原因造成原有及已完成的成品、半成品工程的损坏，承包人承担</w:t>
      </w:r>
      <w:r>
        <w:rPr>
          <w:rFonts w:hint="eastAsia" w:ascii="仿宋_GB2312" w:eastAsia="仿宋_GB2312"/>
          <w:bCs/>
          <w:color w:val="000000"/>
          <w:sz w:val="24"/>
          <w:highlight w:val="none"/>
          <w:u w:val="single"/>
        </w:rPr>
        <w:t>责任。承包人的现场施工人员未经发包人同意不得居住在施工实体内，一经发现必须立即搬出，并视情况向发包人支付1000元/天人的现场管理违约金</w:t>
      </w:r>
      <w:r>
        <w:rPr>
          <w:rFonts w:hint="eastAsia" w:ascii="仿宋_GB2312" w:eastAsia="仿宋_GB2312"/>
          <w:bCs/>
          <w:color w:val="000000"/>
          <w:sz w:val="24"/>
          <w:highlight w:val="none"/>
        </w:rPr>
        <w:t>。</w:t>
      </w:r>
    </w:p>
    <w:p>
      <w:pPr>
        <w:adjustRightInd w:val="0"/>
        <w:snapToGrid w:val="0"/>
        <w:spacing w:line="400" w:lineRule="exact"/>
        <w:ind w:firstLine="480" w:firstLineChars="200"/>
        <w:rPr>
          <w:rFonts w:ascii="仿宋_GB2312" w:eastAsia="仿宋_GB2312"/>
          <w:bCs/>
          <w:color w:val="000000"/>
          <w:sz w:val="24"/>
          <w:highlight w:val="none"/>
          <w:u w:val="single"/>
        </w:rPr>
      </w:pPr>
      <w:r>
        <w:rPr>
          <w:rFonts w:hint="eastAsia" w:ascii="仿宋_GB2312" w:eastAsia="仿宋_GB2312"/>
          <w:bCs/>
          <w:color w:val="000000"/>
          <w:sz w:val="24"/>
          <w:highlight w:val="none"/>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pPr>
        <w:adjustRightInd w:val="0"/>
        <w:snapToGrid w:val="0"/>
        <w:spacing w:line="400" w:lineRule="exact"/>
        <w:ind w:firstLine="480" w:firstLineChars="200"/>
        <w:rPr>
          <w:rFonts w:ascii="仿宋_GB2312" w:eastAsia="仿宋_GB2312"/>
          <w:sz w:val="24"/>
          <w:highlight w:val="none"/>
          <w:u w:val="single"/>
        </w:rPr>
      </w:pPr>
      <w:r>
        <w:rPr>
          <w:rFonts w:hint="eastAsia" w:ascii="仿宋_GB2312" w:eastAsia="仿宋_GB2312"/>
          <w:bCs/>
          <w:color w:val="000000"/>
          <w:sz w:val="24"/>
          <w:highlight w:val="none"/>
          <w:u w:val="single"/>
        </w:rPr>
        <w:t>（7）承包人施工过程中应爱护场区及以外的道路、绿化及其他设施，并遵守发包人、发包人委托的物业管理公司以及监理工程师的现场管理的有关规章制度，否则，所造成的后</w:t>
      </w:r>
      <w:r>
        <w:rPr>
          <w:rFonts w:hint="eastAsia" w:ascii="仿宋_GB2312" w:eastAsia="仿宋_GB2312"/>
          <w:bCs/>
          <w:sz w:val="24"/>
          <w:highlight w:val="none"/>
          <w:u w:val="single"/>
        </w:rPr>
        <w:t>果由承包人负责。</w:t>
      </w:r>
    </w:p>
    <w:p>
      <w:pPr>
        <w:adjustRightInd w:val="0"/>
        <w:snapToGrid w:val="0"/>
        <w:spacing w:line="400" w:lineRule="exact"/>
        <w:ind w:firstLine="480" w:firstLineChars="200"/>
        <w:rPr>
          <w:rFonts w:ascii="仿宋_GB2312" w:eastAsia="仿宋_GB2312"/>
          <w:bCs/>
          <w:sz w:val="24"/>
          <w:highlight w:val="none"/>
          <w:u w:val="single"/>
        </w:rPr>
      </w:pPr>
      <w:r>
        <w:rPr>
          <w:rFonts w:hint="eastAsia" w:ascii="仿宋_GB2312" w:eastAsia="仿宋_GB2312"/>
          <w:bCs/>
          <w:sz w:val="24"/>
          <w:highlight w:val="none"/>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用按照《南京大学停车收费管理实施办法》（南字发[2018]4号）执行，费用由承包人承担。</w:t>
      </w:r>
    </w:p>
    <w:p>
      <w:pPr>
        <w:adjustRightInd w:val="0"/>
        <w:snapToGrid w:val="0"/>
        <w:spacing w:line="400" w:lineRule="exact"/>
        <w:ind w:firstLine="480" w:firstLineChars="200"/>
        <w:rPr>
          <w:rFonts w:ascii="仿宋_GB2312" w:eastAsia="仿宋_GB2312"/>
          <w:bCs/>
          <w:sz w:val="24"/>
          <w:highlight w:val="none"/>
          <w:u w:val="single"/>
        </w:rPr>
      </w:pPr>
      <w:r>
        <w:rPr>
          <w:rFonts w:hint="eastAsia" w:ascii="仿宋_GB2312" w:eastAsia="仿宋_GB2312"/>
          <w:bCs/>
          <w:sz w:val="24"/>
          <w:highlight w:val="none"/>
          <w:u w:val="single"/>
        </w:rPr>
        <w:t>（9）承包人严格</w:t>
      </w:r>
      <w:r>
        <w:rPr>
          <w:rFonts w:ascii="仿宋_GB2312" w:eastAsia="仿宋_GB2312"/>
          <w:bCs/>
          <w:sz w:val="24"/>
          <w:highlight w:val="none"/>
          <w:u w:val="single"/>
        </w:rPr>
        <w:t>按照学校规定</w:t>
      </w:r>
      <w:r>
        <w:rPr>
          <w:rFonts w:hint="eastAsia" w:ascii="仿宋_GB2312" w:eastAsia="仿宋_GB2312"/>
          <w:bCs/>
          <w:sz w:val="24"/>
          <w:highlight w:val="none"/>
          <w:u w:val="single"/>
        </w:rPr>
        <w:t>施工</w:t>
      </w:r>
      <w:r>
        <w:rPr>
          <w:rFonts w:ascii="仿宋_GB2312" w:eastAsia="仿宋_GB2312"/>
          <w:bCs/>
          <w:sz w:val="24"/>
          <w:highlight w:val="none"/>
          <w:u w:val="single"/>
        </w:rPr>
        <w:t>时间</w:t>
      </w:r>
      <w:r>
        <w:rPr>
          <w:rFonts w:hint="eastAsia" w:ascii="仿宋_GB2312" w:eastAsia="仿宋_GB2312"/>
          <w:bCs/>
          <w:sz w:val="24"/>
          <w:highlight w:val="none"/>
          <w:u w:val="single"/>
        </w:rPr>
        <w:t>进行作业，</w:t>
      </w:r>
      <w:r>
        <w:rPr>
          <w:rFonts w:ascii="仿宋_GB2312" w:eastAsia="仿宋_GB2312"/>
          <w:bCs/>
          <w:sz w:val="24"/>
          <w:highlight w:val="none"/>
          <w:u w:val="single"/>
        </w:rPr>
        <w:t>并</w:t>
      </w:r>
      <w:r>
        <w:rPr>
          <w:rFonts w:hint="eastAsia" w:ascii="仿宋_GB2312" w:eastAsia="仿宋_GB2312"/>
          <w:bCs/>
          <w:sz w:val="24"/>
          <w:highlight w:val="none"/>
          <w:u w:val="single"/>
        </w:rPr>
        <w:t>在</w:t>
      </w:r>
      <w:r>
        <w:rPr>
          <w:rFonts w:ascii="仿宋_GB2312" w:eastAsia="仿宋_GB2312"/>
          <w:bCs/>
          <w:sz w:val="24"/>
          <w:highlight w:val="none"/>
          <w:u w:val="single"/>
        </w:rPr>
        <w:t>施工现场及时</w:t>
      </w:r>
      <w:r>
        <w:rPr>
          <w:rFonts w:hint="eastAsia" w:ascii="仿宋_GB2312" w:eastAsia="仿宋_GB2312"/>
          <w:bCs/>
          <w:sz w:val="24"/>
          <w:highlight w:val="none"/>
          <w:u w:val="single"/>
        </w:rPr>
        <w:t>公示告知。施工时间必须满足学校要求，不能影响学生正常的学习和休息。工作日周一至周五上午</w:t>
      </w:r>
      <w:r>
        <w:rPr>
          <w:rFonts w:ascii="仿宋_GB2312" w:eastAsia="仿宋_GB2312"/>
          <w:bCs/>
          <w:sz w:val="24"/>
          <w:highlight w:val="none"/>
          <w:u w:val="single"/>
        </w:rPr>
        <w:t>7:30至12:00、下午14:00至19:00，节假日、双休日上午8:30至12:00、下午2:00-19:00。如遇施工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pPr>
        <w:adjustRightInd w:val="0"/>
        <w:snapToGrid w:val="0"/>
        <w:spacing w:line="400" w:lineRule="exact"/>
        <w:ind w:firstLine="480" w:firstLineChars="200"/>
        <w:rPr>
          <w:rFonts w:ascii="仿宋_GB2312" w:eastAsia="仿宋_GB2312"/>
          <w:bCs/>
          <w:sz w:val="24"/>
          <w:highlight w:val="none"/>
          <w:u w:val="single"/>
        </w:rPr>
      </w:pPr>
      <w:r>
        <w:rPr>
          <w:rFonts w:hint="eastAsia" w:ascii="仿宋_GB2312" w:eastAsia="仿宋_GB2312"/>
          <w:bCs/>
          <w:sz w:val="24"/>
          <w:highlight w:val="none"/>
          <w:u w:val="single"/>
        </w:rPr>
        <w:t>（</w:t>
      </w:r>
      <w:r>
        <w:rPr>
          <w:rFonts w:ascii="仿宋_GB2312" w:eastAsia="仿宋_GB2312"/>
          <w:bCs/>
          <w:sz w:val="24"/>
          <w:highlight w:val="none"/>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bCs/>
          <w:color w:val="000000"/>
          <w:sz w:val="24"/>
          <w:highlight w:val="none"/>
        </w:rPr>
        <w:t>（11）根据国家标准和施工验收规范要求对材料、构配件和建筑物工程质量检测检验费由承包人承担，承包人在监理</w:t>
      </w:r>
      <w:r>
        <w:rPr>
          <w:rFonts w:hint="eastAsia" w:ascii="仿宋_GB2312" w:eastAsia="仿宋_GB2312"/>
          <w:color w:val="000000"/>
          <w:sz w:val="24"/>
          <w:highlight w:val="none"/>
        </w:rPr>
        <w:t>工程师的监督下按规定进行建筑材料、构配件等式样的制作、封样、送检和其它为保证工程质量进行的材料检验试验工作。所有材料检测由承包人送交以下单位检测：</w:t>
      </w:r>
      <w:r>
        <w:rPr>
          <w:rFonts w:hint="eastAsia" w:ascii="仿宋_GB2312" w:eastAsia="仿宋_GB2312"/>
          <w:color w:val="000000"/>
          <w:sz w:val="24"/>
          <w:highlight w:val="none"/>
          <w:u w:val="single"/>
        </w:rPr>
        <w:t>南京市建筑安装工程质量监督站检测中心或鼓楼区建筑安装工程质量检测中心</w:t>
      </w:r>
      <w:r>
        <w:rPr>
          <w:rFonts w:hint="eastAsia" w:ascii="仿宋_GB2312" w:eastAsia="仿宋_GB2312"/>
          <w:color w:val="000000"/>
          <w:sz w:val="24"/>
          <w:highlight w:val="none"/>
        </w:rPr>
        <w:t>。</w:t>
      </w:r>
    </w:p>
    <w:p>
      <w:pPr>
        <w:adjustRightInd w:val="0"/>
        <w:snapToGrid w:val="0"/>
        <w:spacing w:line="400" w:lineRule="exact"/>
        <w:ind w:firstLine="480" w:firstLineChars="200"/>
        <w:rPr>
          <w:rFonts w:hint="eastAsia" w:ascii="仿宋_GB2312" w:eastAsia="仿宋_GB2312"/>
          <w:color w:val="000000"/>
          <w:sz w:val="24"/>
          <w:highlight w:val="none"/>
        </w:rPr>
      </w:pPr>
      <w:r>
        <w:rPr>
          <w:rFonts w:hint="eastAsia" w:ascii="仿宋_GB2312" w:eastAsia="仿宋_GB2312"/>
          <w:color w:val="000000"/>
          <w:sz w:val="24"/>
          <w:highlight w:val="none"/>
        </w:rPr>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pPr>
        <w:adjustRightInd w:val="0"/>
        <w:snapToGrid w:val="0"/>
        <w:spacing w:line="400" w:lineRule="exact"/>
        <w:ind w:firstLine="480" w:firstLineChars="200"/>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lang w:val="en-US" w:eastAsia="zh-CN"/>
        </w:rPr>
        <w:t>2.2.3分包</w:t>
      </w:r>
    </w:p>
    <w:p>
      <w:pPr>
        <w:numPr>
          <w:ilvl w:val="0"/>
          <w:numId w:val="1"/>
        </w:numPr>
        <w:adjustRightInd w:val="0"/>
        <w:snapToGrid w:val="0"/>
        <w:spacing w:line="400" w:lineRule="exact"/>
        <w:ind w:firstLine="480" w:firstLineChars="200"/>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lang w:val="en-US" w:eastAsia="zh-CN"/>
        </w:rPr>
        <w:t>禁止分包的工程包括：</w:t>
      </w:r>
      <w:r>
        <w:rPr>
          <w:rFonts w:hint="eastAsia" w:ascii="仿宋_GB2312" w:eastAsia="仿宋_GB2312"/>
          <w:color w:val="000000"/>
          <w:sz w:val="24"/>
          <w:highlight w:val="none"/>
          <w:u w:val="single"/>
          <w:lang w:val="en-US" w:eastAsia="zh-CN"/>
        </w:rPr>
        <w:t>承包人不得将其承包的全部工程转包给第三人，或将其承包的全部工程肢解后以分包名义转包给第三人</w:t>
      </w:r>
      <w:r>
        <w:rPr>
          <w:rFonts w:hint="eastAsia" w:ascii="仿宋_GB2312" w:eastAsia="仿宋_GB2312"/>
          <w:color w:val="000000"/>
          <w:sz w:val="24"/>
          <w:highlight w:val="none"/>
          <w:lang w:val="en-US" w:eastAsia="zh-CN"/>
        </w:rPr>
        <w:t>。</w:t>
      </w:r>
    </w:p>
    <w:p>
      <w:pPr>
        <w:numPr>
          <w:ilvl w:val="0"/>
          <w:numId w:val="1"/>
        </w:numPr>
        <w:adjustRightInd w:val="0"/>
        <w:snapToGrid w:val="0"/>
        <w:spacing w:line="400" w:lineRule="exact"/>
        <w:ind w:firstLine="480" w:firstLineChars="200"/>
        <w:rPr>
          <w:rFonts w:hint="default" w:ascii="仿宋_GB2312" w:eastAsia="仿宋_GB2312"/>
          <w:color w:val="000000"/>
          <w:sz w:val="24"/>
          <w:highlight w:val="none"/>
          <w:lang w:val="en-US" w:eastAsia="zh-CN"/>
        </w:rPr>
      </w:pPr>
      <w:r>
        <w:rPr>
          <w:rFonts w:hint="default" w:ascii="仿宋_GB2312" w:eastAsia="仿宋_GB2312"/>
          <w:color w:val="000000"/>
          <w:sz w:val="24"/>
          <w:highlight w:val="none"/>
          <w:lang w:val="en-US" w:eastAsia="zh-CN"/>
        </w:rPr>
        <w:t>允许分包的专业工程包括：</w:t>
      </w:r>
      <w:r>
        <w:rPr>
          <w:rFonts w:hint="eastAsia" w:ascii="仿宋_GB2312" w:eastAsia="仿宋_GB2312"/>
          <w:color w:val="000000"/>
          <w:sz w:val="24"/>
          <w:highlight w:val="none"/>
          <w:u w:val="single"/>
          <w:lang w:val="en-US" w:eastAsia="zh-CN"/>
        </w:rPr>
        <w:t>钢结构工程、防水工程</w:t>
      </w:r>
      <w:r>
        <w:rPr>
          <w:rFonts w:hint="default" w:ascii="仿宋_GB2312" w:eastAsia="仿宋_GB2312"/>
          <w:color w:val="000000"/>
          <w:sz w:val="24"/>
          <w:highlight w:val="none"/>
          <w:lang w:val="en-US" w:eastAsia="zh-CN"/>
        </w:rPr>
        <w:t>。</w:t>
      </w:r>
    </w:p>
    <w:p>
      <w:pPr>
        <w:numPr>
          <w:ilvl w:val="0"/>
          <w:numId w:val="1"/>
        </w:numPr>
        <w:adjustRightInd w:val="0"/>
        <w:snapToGrid w:val="0"/>
        <w:spacing w:line="400" w:lineRule="exact"/>
        <w:ind w:firstLine="480" w:firstLineChars="200"/>
        <w:rPr>
          <w:rFonts w:hint="default" w:ascii="仿宋_GB2312" w:eastAsia="仿宋_GB2312"/>
          <w:color w:val="000000"/>
          <w:sz w:val="24"/>
          <w:highlight w:val="none"/>
          <w:lang w:val="en-US" w:eastAsia="zh-CN"/>
        </w:rPr>
      </w:pPr>
      <w:r>
        <w:rPr>
          <w:rFonts w:hint="default" w:ascii="仿宋_GB2312" w:eastAsia="仿宋_GB2312"/>
          <w:color w:val="000000"/>
          <w:sz w:val="24"/>
          <w:highlight w:val="none"/>
          <w:lang w:val="en-US" w:eastAsia="zh-CN"/>
        </w:rPr>
        <w:t>其他关于分包的约定：</w:t>
      </w:r>
      <w:r>
        <w:rPr>
          <w:rFonts w:hint="default" w:ascii="仿宋_GB2312" w:eastAsia="仿宋_GB2312"/>
          <w:color w:val="000000"/>
          <w:sz w:val="24"/>
          <w:highlight w:val="none"/>
          <w:u w:val="single"/>
          <w:lang w:val="en-US" w:eastAsia="zh-CN"/>
        </w:rPr>
        <w:t>对确需分包的特殊工程须经发包人确认，发包人有权选择分包方式。如承包人需分包部分工程，提前不少于20天报请监理工程师和发包人书面认可，承包人负责分包项目的管理，承担工程进度、安全及质量责任。分包单位和总承包单位就所分包的项目对发包人承担连带责任</w:t>
      </w:r>
      <w:r>
        <w:rPr>
          <w:rFonts w:hint="default" w:ascii="仿宋_GB2312" w:eastAsia="仿宋_GB2312"/>
          <w:color w:val="000000"/>
          <w:sz w:val="24"/>
          <w:highlight w:val="none"/>
          <w:lang w:val="en-US" w:eastAsia="zh-CN"/>
        </w:rPr>
        <w:t>。</w:t>
      </w:r>
    </w:p>
    <w:p>
      <w:pPr>
        <w:numPr>
          <w:ilvl w:val="0"/>
          <w:numId w:val="1"/>
        </w:numPr>
        <w:adjustRightInd w:val="0"/>
        <w:snapToGrid w:val="0"/>
        <w:spacing w:line="400" w:lineRule="exact"/>
        <w:ind w:firstLine="480" w:firstLineChars="200"/>
        <w:rPr>
          <w:rFonts w:hint="default" w:ascii="仿宋_GB2312" w:eastAsia="仿宋_GB2312"/>
          <w:color w:val="000000"/>
          <w:sz w:val="24"/>
          <w:highlight w:val="none"/>
          <w:lang w:val="en-US" w:eastAsia="zh-CN"/>
        </w:rPr>
      </w:pPr>
      <w:r>
        <w:rPr>
          <w:rFonts w:hint="default" w:ascii="仿宋_GB2312" w:eastAsia="仿宋_GB2312"/>
          <w:color w:val="000000"/>
          <w:sz w:val="24"/>
          <w:highlight w:val="none"/>
          <w:lang w:val="en-US" w:eastAsia="zh-CN"/>
        </w:rPr>
        <w:t>关于分包合同价款支付的约定：</w:t>
      </w:r>
      <w:r>
        <w:rPr>
          <w:rFonts w:hint="default" w:ascii="仿宋_GB2312" w:eastAsia="仿宋_GB2312"/>
          <w:color w:val="000000"/>
          <w:sz w:val="24"/>
          <w:highlight w:val="none"/>
          <w:u w:val="single"/>
          <w:lang w:val="en-US" w:eastAsia="zh-CN"/>
        </w:rPr>
        <w:t>工程付款时，所有分包单位申请工程款时均需由总包单位签字认可后发包人才能支付工程款</w:t>
      </w:r>
      <w:r>
        <w:rPr>
          <w:rFonts w:hint="default" w:ascii="仿宋_GB2312" w:eastAsia="仿宋_GB2312"/>
          <w:color w:val="000000"/>
          <w:sz w:val="24"/>
          <w:highlight w:val="none"/>
          <w:lang w:val="en-US" w:eastAsia="zh-CN"/>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2.3监理人</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本项目监理人名称</w:t>
      </w:r>
      <w:r>
        <w:rPr>
          <w:rFonts w:ascii="仿宋_GB2312" w:eastAsia="仿宋_GB2312"/>
          <w:color w:val="000000"/>
          <w:sz w:val="24"/>
          <w:highlight w:val="none"/>
        </w:rPr>
        <w:t>：</w:t>
      </w:r>
      <w:r>
        <w:rPr>
          <w:rFonts w:hint="eastAsia" w:ascii="仿宋_GB2312" w:eastAsia="仿宋_GB2312"/>
          <w:color w:val="000000"/>
          <w:sz w:val="24"/>
          <w:highlight w:val="none"/>
          <w:u w:val="single"/>
        </w:rPr>
        <w:t xml:space="preserve">                       </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2.3.1监理人的一般规定</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（1）关于监理人的监理内容：</w:t>
      </w:r>
      <w:r>
        <w:rPr>
          <w:rFonts w:hint="eastAsia" w:ascii="仿宋_GB2312" w:eastAsia="仿宋_GB2312"/>
          <w:color w:val="000000"/>
          <w:sz w:val="24"/>
          <w:highlight w:val="none"/>
          <w:u w:val="single"/>
        </w:rPr>
        <w:t>施工和保修阶段的四控制（质量、进度、投资、安全）、两管理（合同、信息）、一协调（协调施工现场各方面关系）</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u w:val="single"/>
        </w:rPr>
      </w:pPr>
      <w:r>
        <w:rPr>
          <w:rFonts w:hint="eastAsia" w:ascii="仿宋_GB2312" w:eastAsia="仿宋_GB2312"/>
          <w:color w:val="000000"/>
          <w:sz w:val="24"/>
          <w:highlight w:val="none"/>
        </w:rPr>
        <w:t>（2）关于监理人的监理权限：</w:t>
      </w:r>
      <w:r>
        <w:rPr>
          <w:rFonts w:hint="eastAsia" w:ascii="仿宋_GB2312" w:eastAsia="仿宋_GB2312"/>
          <w:color w:val="000000"/>
          <w:sz w:val="24"/>
          <w:highlight w:val="none"/>
          <w:u w:val="single"/>
        </w:rPr>
        <w:t>需要取得发包人批准才能行使的职权：所有涉及工程造价的签证、设计变更、开工报告、停工令、复工令、工程分包、工程延期。</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2.3.2监理人员</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（1）总监理工程师姓名：</w:t>
      </w:r>
      <w:r>
        <w:rPr>
          <w:rFonts w:hint="eastAsia" w:ascii="仿宋_GB2312" w:eastAsia="仿宋_GB2312"/>
          <w:sz w:val="24"/>
          <w:highlight w:val="none"/>
          <w:u w:val="single"/>
        </w:rPr>
        <w:t xml:space="preserve">           </w:t>
      </w:r>
      <w:r>
        <w:rPr>
          <w:rFonts w:hint="eastAsia" w:ascii="仿宋_GB2312" w:eastAsia="仿宋_GB2312"/>
          <w:sz w:val="24"/>
          <w:highlight w:val="none"/>
        </w:rPr>
        <w:t>，联系电话：</w:t>
      </w:r>
      <w:r>
        <w:rPr>
          <w:rFonts w:hint="eastAsia" w:ascii="仿宋_GB2312" w:eastAsia="仿宋_GB2312"/>
          <w:sz w:val="24"/>
          <w:highlight w:val="none"/>
          <w:u w:val="single"/>
        </w:rPr>
        <w:t xml:space="preserve">              </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（2）关于监理人的其他约定：</w:t>
      </w:r>
      <w:r>
        <w:rPr>
          <w:rFonts w:hint="eastAsia" w:ascii="仿宋_GB2312" w:eastAsia="仿宋_GB2312"/>
          <w:sz w:val="24"/>
          <w:highlight w:val="none"/>
          <w:u w:val="single"/>
        </w:rPr>
        <w:t>监理工程师下达给承包人或其项目经理的任何涉及工程造价的指示，必须得到发包人的书面认可，该指示于发包人批准之日起有效</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bCs/>
          <w:sz w:val="24"/>
          <w:highlight w:val="none"/>
        </w:rPr>
      </w:pPr>
      <w:r>
        <w:rPr>
          <w:rFonts w:hint="eastAsia" w:ascii="仿宋_GB2312" w:eastAsia="仿宋_GB2312"/>
          <w:b/>
          <w:bCs/>
          <w:sz w:val="24"/>
          <w:highlight w:val="none"/>
        </w:rPr>
        <w:t>三、工程质量</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3.1特殊质量标准和要求：</w:t>
      </w:r>
      <w:r>
        <w:rPr>
          <w:rFonts w:hint="eastAsia" w:ascii="仿宋_GB2312" w:eastAsia="仿宋_GB2312"/>
          <w:sz w:val="24"/>
          <w:highlight w:val="none"/>
          <w:u w:val="single"/>
        </w:rPr>
        <w:t>工程质量必须达到《建筑工程施工质量验收统一标准》GB50300-2013规定的合格标准。本工程不评优，但承包人承诺优质工程质量标准而没有达到的，结算时按分部分项工程费1%处罚，达到优质工程不奖励</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3.2承包人提前通知监理人隐蔽工程检查的期限约定：</w:t>
      </w:r>
      <w:r>
        <w:rPr>
          <w:rFonts w:hint="eastAsia" w:ascii="仿宋_GB2312" w:eastAsia="仿宋_GB2312"/>
          <w:sz w:val="24"/>
          <w:highlight w:val="none"/>
          <w:u w:val="single"/>
        </w:rPr>
        <w:t>共同检查前48小时</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sz w:val="24"/>
          <w:highlight w:val="none"/>
        </w:rPr>
      </w:pPr>
      <w:r>
        <w:rPr>
          <w:rFonts w:hint="eastAsia" w:ascii="仿宋_GB2312" w:eastAsia="仿宋_GB2312"/>
          <w:b/>
          <w:bCs/>
          <w:sz w:val="24"/>
          <w:highlight w:val="none"/>
        </w:rPr>
        <w:t>四、工期和进度</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4.1进度计划</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4.1.1承包人提交施工组织设计(施工方案)和施工进度计划的期限：</w:t>
      </w:r>
      <w:r>
        <w:rPr>
          <w:rFonts w:hint="eastAsia" w:ascii="仿宋_GB2312" w:eastAsia="仿宋_GB2312"/>
          <w:color w:val="000000"/>
          <w:sz w:val="24"/>
          <w:highlight w:val="none"/>
          <w:u w:val="single"/>
        </w:rPr>
        <w:t>开工前3天</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4.1.2发包人和监理人收到施工组织设计和施工进度计划后确认或提出修改意见的期限：</w:t>
      </w:r>
      <w:r>
        <w:rPr>
          <w:rFonts w:hint="eastAsia" w:ascii="仿宋_GB2312" w:eastAsia="仿宋_GB2312"/>
          <w:color w:val="000000"/>
          <w:sz w:val="24"/>
          <w:highlight w:val="none"/>
          <w:u w:val="single"/>
        </w:rPr>
        <w:t>收到后5日内</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4.2工期延误</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4.2.1因不可抗力的原因导致工期延误：</w:t>
      </w:r>
      <w:r>
        <w:rPr>
          <w:rFonts w:hint="eastAsia" w:ascii="仿宋_GB2312" w:eastAsia="仿宋_GB2312"/>
          <w:color w:val="000000"/>
          <w:sz w:val="24"/>
          <w:highlight w:val="none"/>
          <w:u w:val="single"/>
        </w:rPr>
        <w:t>经工程师确认，工期相应顺延</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4.2.2因发包人原因导致工期延误：</w:t>
      </w:r>
      <w:r>
        <w:rPr>
          <w:rFonts w:hint="eastAsia" w:ascii="仿宋_GB2312" w:eastAsia="仿宋_GB2312"/>
          <w:color w:val="000000"/>
          <w:sz w:val="24"/>
          <w:highlight w:val="none"/>
          <w:u w:val="single"/>
        </w:rPr>
        <w:t>发包方在合同签订后达不到开工条件的，如果承包方工人已进场，因发包方原因不能开工或中途因发包方原因造成停工的，工期顺延</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4.2.3因工程量变化和设计变更导致工期延误：</w:t>
      </w:r>
      <w:r>
        <w:rPr>
          <w:rFonts w:hint="eastAsia" w:ascii="仿宋_GB2312" w:eastAsia="仿宋_GB2312"/>
          <w:color w:val="000000"/>
          <w:sz w:val="24"/>
          <w:highlight w:val="none"/>
          <w:u w:val="single"/>
        </w:rPr>
        <w:t>经双方协商认可，工期可以顺延，质量要求不变</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4.2.4非上述原因，承包人不能按合同约定的时间竣工，承包人承担违约责任。应向发包人支付延期赔偿（每天赔偿金额为合同价款的</w:t>
      </w:r>
      <w:r>
        <w:rPr>
          <w:rFonts w:hint="eastAsia" w:ascii="仿宋_GB2312" w:eastAsia="仿宋_GB2312"/>
          <w:color w:val="000000"/>
          <w:sz w:val="24"/>
          <w:highlight w:val="none"/>
          <w:u w:val="single"/>
        </w:rPr>
        <w:t>万分之五</w:t>
      </w:r>
      <w:r>
        <w:rPr>
          <w:rFonts w:hint="eastAsia" w:ascii="仿宋_GB2312" w:eastAsia="仿宋_GB2312"/>
          <w:color w:val="000000"/>
          <w:sz w:val="24"/>
          <w:highlight w:val="none"/>
        </w:rPr>
        <w:t>），误期时间从规定竣工日期起直到全部工程或相应部分工程竣工验收各方签章日期之间的天数（扣除发包人批准的顺延工期），其极限为合同价的</w:t>
      </w:r>
      <w:r>
        <w:rPr>
          <w:rFonts w:hint="eastAsia" w:ascii="仿宋_GB2312" w:eastAsia="仿宋_GB2312"/>
          <w:color w:val="000000"/>
          <w:sz w:val="24"/>
          <w:highlight w:val="none"/>
          <w:u w:val="single"/>
        </w:rPr>
        <w:t>5%</w:t>
      </w:r>
      <w:r>
        <w:rPr>
          <w:rFonts w:hint="eastAsia" w:ascii="仿宋_GB2312" w:eastAsia="仿宋_GB2312"/>
          <w:color w:val="000000"/>
          <w:sz w:val="24"/>
          <w:highlight w:val="none"/>
        </w:rPr>
        <w:t>。因承包人延误工期期间的监理费用由承包人支付，标准为</w:t>
      </w:r>
      <w:r>
        <w:rPr>
          <w:rFonts w:hint="eastAsia" w:ascii="仿宋_GB2312" w:eastAsia="仿宋_GB2312"/>
          <w:color w:val="000000"/>
          <w:sz w:val="24"/>
          <w:highlight w:val="none"/>
          <w:u w:val="single"/>
        </w:rPr>
        <w:t>500元/天</w:t>
      </w:r>
      <w:r>
        <w:rPr>
          <w:rFonts w:hint="eastAsia" w:ascii="仿宋_GB2312" w:eastAsia="仿宋_GB2312"/>
          <w:color w:val="000000"/>
          <w:sz w:val="24"/>
          <w:highlight w:val="none"/>
        </w:rPr>
        <w:t>。发包人可从应向承包人支付任何金额中扣除此项赔偿费或以其它方式回收此款，此赔偿款的支付并不能解除承包人应完成工程的责任或合同规定的其他责任。</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4.2.5未经发包人代表与总监理工程师书面同意延迟开工，工期不予调整。</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4.2.6承包人必须按照合同工期或发包人同意顺延的工期竣工。</w:t>
      </w:r>
    </w:p>
    <w:p>
      <w:pPr>
        <w:adjustRightInd w:val="0"/>
        <w:snapToGrid w:val="0"/>
        <w:spacing w:line="400" w:lineRule="exact"/>
        <w:ind w:firstLine="482" w:firstLineChars="200"/>
        <w:rPr>
          <w:rFonts w:ascii="仿宋_GB2312" w:eastAsia="仿宋_GB2312"/>
          <w:b/>
          <w:color w:val="000000"/>
          <w:sz w:val="24"/>
          <w:highlight w:val="none"/>
        </w:rPr>
      </w:pPr>
      <w:r>
        <w:rPr>
          <w:rFonts w:hint="eastAsia" w:ascii="仿宋_GB2312" w:eastAsia="仿宋_GB2312"/>
          <w:b/>
          <w:color w:val="000000"/>
          <w:sz w:val="24"/>
          <w:highlight w:val="none"/>
        </w:rPr>
        <w:t>五、材料与设备</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5.1发包人供应的材料设备</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5.1.1材料设备单价与一览表不符：</w:t>
      </w:r>
      <w:r>
        <w:rPr>
          <w:rFonts w:hint="eastAsia" w:ascii="仿宋_GB2312" w:eastAsia="仿宋_GB2312"/>
          <w:color w:val="000000"/>
          <w:sz w:val="24"/>
          <w:highlight w:val="none"/>
          <w:u w:val="single"/>
        </w:rPr>
        <w:t>材料、设备单价以零计入报价，不调整</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5.1.2材料设备的品种、规格、型号、质量等级与一览表不符：</w:t>
      </w:r>
      <w:r>
        <w:rPr>
          <w:rFonts w:hint="eastAsia" w:ascii="仿宋_GB2312" w:eastAsia="仿宋_GB2312"/>
          <w:color w:val="000000"/>
          <w:sz w:val="24"/>
          <w:highlight w:val="none"/>
          <w:u w:val="single"/>
        </w:rPr>
        <w:t>以发包人实际供应的材料设备的品种、规格、型号、质量为准</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5.1.3承包人可代为调剂串换的材料：</w:t>
      </w:r>
      <w:r>
        <w:rPr>
          <w:rFonts w:hint="eastAsia" w:ascii="仿宋_GB2312" w:eastAsia="仿宋_GB2312"/>
          <w:color w:val="000000"/>
          <w:sz w:val="24"/>
          <w:highlight w:val="none"/>
          <w:u w:val="single"/>
        </w:rPr>
        <w:t>须经发包人确认后进行</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5.1.4供应数量与一览表不符：</w:t>
      </w:r>
      <w:r>
        <w:rPr>
          <w:rFonts w:hint="eastAsia" w:ascii="仿宋_GB2312" w:eastAsia="仿宋_GB2312"/>
          <w:color w:val="000000"/>
          <w:sz w:val="24"/>
          <w:highlight w:val="none"/>
          <w:u w:val="single"/>
        </w:rPr>
        <w:t>甲供材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5.1.5列入发包人甲供或甲控的材料，承包人不得自行采购，须根据现场施工需要，提前一个星期报发包人审批，确定甲供材还是甲控材，甲控材为发包人核定品牌型号及价格的材料，如不按要求申报造成的损失由承包人承担，延误的工期不顺延。</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5.1.6发包人供应的材料设备的二次搬运费、保管费用由承包人承担。</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5.2承包人采购材料与工程设备</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5.2.1材料必须是优质产品，必须符合有关规范、设计图纸、采购文件规定的质量要求。</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5.2.2所有材料运输上下力费、保管费由承包人承担。</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甲控材考虑。</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5.2.4如发包方需要，可指定材料品牌并商定价格，由承包方负责采购。发包方保留部分材料可能会甲供的权利，承包方不得有异议。</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5.2.5设备及材料按标准、规范和设计文件要求的检验报告、质量合格证明书及使用、维修说明书等其他相关技术文件应要求供应商与货物同时交付，并作为交工文件的一部分妥善保存，以备竣工时移交发包方。</w:t>
      </w:r>
    </w:p>
    <w:p>
      <w:pPr>
        <w:adjustRightInd w:val="0"/>
        <w:snapToGrid w:val="0"/>
        <w:spacing w:line="400" w:lineRule="exact"/>
        <w:ind w:firstLine="482" w:firstLineChars="200"/>
        <w:rPr>
          <w:rFonts w:ascii="仿宋_GB2312" w:eastAsia="仿宋_GB2312"/>
          <w:b/>
          <w:bCs/>
          <w:color w:val="000000"/>
          <w:sz w:val="24"/>
          <w:highlight w:val="none"/>
        </w:rPr>
      </w:pPr>
      <w:r>
        <w:rPr>
          <w:rFonts w:hint="eastAsia" w:ascii="仿宋_GB2312" w:eastAsia="仿宋_GB2312"/>
          <w:b/>
          <w:bCs/>
          <w:color w:val="000000"/>
          <w:sz w:val="24"/>
          <w:highlight w:val="none"/>
        </w:rPr>
        <w:t>六、工程变更</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pPr>
        <w:adjustRightInd w:val="0"/>
        <w:snapToGrid w:val="0"/>
        <w:spacing w:line="400" w:lineRule="exact"/>
        <w:ind w:firstLine="480" w:firstLineChars="200"/>
        <w:rPr>
          <w:rFonts w:ascii="仿宋_GB2312" w:eastAsia="仿宋_GB2312"/>
          <w:color w:val="000000"/>
          <w:sz w:val="24"/>
          <w:highlight w:val="none"/>
          <w:u w:val="single"/>
        </w:rPr>
      </w:pPr>
      <w:r>
        <w:rPr>
          <w:rFonts w:hint="eastAsia" w:ascii="仿宋_GB2312" w:eastAsia="仿宋_GB2312"/>
          <w:color w:val="000000"/>
          <w:sz w:val="24"/>
          <w:highlight w:val="none"/>
        </w:rPr>
        <w:t>6.2现场签证须有监理工程师和发包人项目负责人签字，全过程造价控制人员签字。</w:t>
      </w:r>
    </w:p>
    <w:p>
      <w:pPr>
        <w:adjustRightInd w:val="0"/>
        <w:snapToGrid w:val="0"/>
        <w:spacing w:line="400" w:lineRule="exact"/>
        <w:ind w:firstLine="482" w:firstLineChars="200"/>
        <w:rPr>
          <w:rFonts w:ascii="仿宋_GB2312" w:eastAsia="仿宋_GB2312"/>
          <w:b/>
          <w:color w:val="000000"/>
          <w:sz w:val="24"/>
          <w:highlight w:val="none"/>
        </w:rPr>
      </w:pPr>
      <w:r>
        <w:rPr>
          <w:rFonts w:hint="eastAsia" w:ascii="仿宋_GB2312" w:eastAsia="仿宋_GB2312"/>
          <w:b/>
          <w:color w:val="000000"/>
          <w:sz w:val="24"/>
          <w:highlight w:val="none"/>
        </w:rPr>
        <w:t>七、合同价格、计量与支付</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7.1合同价格形式</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7.1.1采用</w:t>
      </w:r>
      <w:r>
        <w:rPr>
          <w:rFonts w:hint="eastAsia" w:ascii="仿宋_GB2312" w:eastAsia="仿宋_GB2312"/>
          <w:color w:val="000000"/>
          <w:sz w:val="24"/>
          <w:highlight w:val="none"/>
          <w:u w:val="single"/>
        </w:rPr>
        <w:t>固定单价</w:t>
      </w:r>
      <w:r>
        <w:rPr>
          <w:rFonts w:hint="eastAsia" w:ascii="仿宋_GB2312" w:eastAsia="仿宋_GB2312"/>
          <w:color w:val="000000"/>
          <w:sz w:val="24"/>
          <w:highlight w:val="none"/>
        </w:rPr>
        <w:t>合同，合同价款中包括的风险范围：施工期间工程造价方面的政策性调整，以及各类建材的市场风险包括人工、机械单价、建材单价和优惠费率及采购文件约定的部分。</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7.1.2风险费用的计算方法：</w:t>
      </w:r>
      <w:r>
        <w:rPr>
          <w:rFonts w:hint="eastAsia" w:ascii="仿宋_GB2312" w:eastAsia="仿宋_GB2312"/>
          <w:color w:val="000000"/>
          <w:sz w:val="24"/>
          <w:highlight w:val="none"/>
          <w:u w:val="single"/>
        </w:rPr>
        <w:t>承包人报价时充分考虑风险范围并计算风险费用，结算时不予调整</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7.1.3风险范围以外合同价款调整方法：</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（3）若调整的工程量清单子目属于新增清单子目，但采购文件中有适用的类似的清单子目可参照时，则按响应文件中的类似清单子目的人材机消耗量、单价、费用种类、费率标准计价；</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4）若调整的工程量清单子目属于新增清单子目，且响应文件中没有可适用的类似清单子目时，采用采购时所参照的定额或其他计价依据资料计算其人材机消耗量，按响应文件中该清单子目所属分部分项工程的单价、费用种类、加权平均费率标准计价；</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5）对于响应文件中没有的新增材料单价，其中次要（辅助）材料（含地材）可参照施工期间南京市造价管理部门发布的材料指导价格计算，主要材料或无指导价格的材料由发包人核价后方可采购（发包人保留选择甲供的权利）；</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6）施工过程中清单子目工程量发生变化时，措施费项目不增加、其费率不调整。如有新增项目由成交人施工，成交人不得以任何理由拒绝，合同总工期不得增加，并按本条款中“调整的工程量清单子目”计价方式计价；</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（7）如工程有总价优惠，则调整部分的工程造价也须参照该总价优惠比率进行优惠。</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7.2工程进度款支付</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7.2.1工程合同签订、承包人人员、机械进场后发包人支付预付款比例：</w:t>
      </w:r>
      <w:r>
        <w:rPr>
          <w:rFonts w:hint="eastAsia" w:ascii="仿宋_GB2312" w:eastAsia="仿宋_GB2312"/>
          <w:b/>
          <w:sz w:val="24"/>
          <w:highlight w:val="none"/>
          <w:u w:val="single"/>
        </w:rPr>
        <w:t xml:space="preserve"> </w:t>
      </w:r>
      <w:r>
        <w:rPr>
          <w:rFonts w:hint="eastAsia" w:ascii="仿宋_GB2312" w:eastAsia="仿宋_GB2312"/>
          <w:b/>
          <w:sz w:val="24"/>
          <w:highlight w:val="none"/>
          <w:u w:val="single"/>
          <w:lang w:val="en-US" w:eastAsia="zh-CN"/>
        </w:rPr>
        <w:t>30%</w:t>
      </w:r>
      <w:r>
        <w:rPr>
          <w:rFonts w:hint="eastAsia" w:ascii="仿宋_GB2312" w:eastAsia="仿宋_GB2312"/>
          <w:b/>
          <w:sz w:val="24"/>
          <w:highlight w:val="none"/>
          <w:u w:val="single"/>
        </w:rPr>
        <w:t xml:space="preserve"> </w:t>
      </w:r>
      <w:r>
        <w:rPr>
          <w:rFonts w:hint="eastAsia" w:ascii="仿宋_GB2312" w:eastAsia="仿宋_GB2312"/>
          <w:b/>
          <w:sz w:val="24"/>
          <w:highlight w:val="none"/>
        </w:rPr>
        <w:t>（扣除招标清单中暂列金额、暂估价及甲供材价款），金额：</w:t>
      </w:r>
      <w:r>
        <w:rPr>
          <w:rFonts w:hint="eastAsia" w:ascii="仿宋_GB2312" w:eastAsia="仿宋_GB2312"/>
          <w:b/>
          <w:sz w:val="24"/>
          <w:highlight w:val="none"/>
          <w:u w:val="single"/>
        </w:rPr>
        <w:t xml:space="preserve">  </w:t>
      </w:r>
      <w:r>
        <w:rPr>
          <w:rFonts w:ascii="仿宋_GB2312" w:eastAsia="仿宋_GB2312"/>
          <w:b/>
          <w:sz w:val="24"/>
          <w:highlight w:val="none"/>
          <w:u w:val="single"/>
        </w:rPr>
        <w:t>/</w:t>
      </w:r>
      <w:r>
        <w:rPr>
          <w:rFonts w:hint="eastAsia" w:ascii="仿宋_GB2312" w:eastAsia="仿宋_GB2312"/>
          <w:b/>
          <w:sz w:val="24"/>
          <w:highlight w:val="none"/>
          <w:u w:val="single"/>
        </w:rPr>
        <w:t xml:space="preserve">  </w:t>
      </w:r>
      <w:r>
        <w:rPr>
          <w:rFonts w:hint="eastAsia" w:ascii="仿宋_GB2312" w:eastAsia="仿宋_GB2312"/>
          <w:b/>
          <w:sz w:val="24"/>
          <w:highlight w:val="none"/>
        </w:rPr>
        <w:t>元。</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7.2.2合同内工程量全部完成，并且达到竣工验收标准，工程竣工结算经审计，承包人将审定结算价款的</w:t>
      </w:r>
      <w:r>
        <w:rPr>
          <w:rFonts w:ascii="仿宋_GB2312" w:eastAsia="仿宋_GB2312"/>
          <w:b/>
          <w:sz w:val="24"/>
          <w:highlight w:val="none"/>
        </w:rPr>
        <w:t>3%打入南京大学账户作为质保金，发包人再支付至审定结算价款的100%，同时扣除全部工程预付款。质保金在保修期满后无质量问题并按合同约定做好相关质保服务时退还</w:t>
      </w:r>
      <w:r>
        <w:rPr>
          <w:rFonts w:hint="eastAsia" w:ascii="仿宋_GB2312" w:eastAsia="仿宋_GB2312"/>
          <w:b/>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sz w:val="24"/>
          <w:highlight w:val="none"/>
        </w:rPr>
        <w:t>7.2.3发包人代扣代交费用在进度款中扣除，发包人的付款中已含全额人工费，承包人必须按劳动和社会保障部、建设部联合下发《建设领域农</w:t>
      </w:r>
      <w:r>
        <w:rPr>
          <w:rFonts w:hint="eastAsia" w:ascii="仿宋_GB2312" w:eastAsia="仿宋_GB2312"/>
          <w:color w:val="000000"/>
          <w:sz w:val="24"/>
          <w:highlight w:val="none"/>
        </w:rPr>
        <w:t>民工工资支付管理办法》的规定发放工资，直接将工资发给农民工本人，否则，发包人将对承包人进行罚款或延迟支付工程款。</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7.2.4如该项目为跨年度工程或遇付款时间为学校财务封帐期等特殊情况，无法支付工程款时，付款时间由发、承包双方另行商定，发包方对此不承担违约责任。</w:t>
      </w:r>
    </w:p>
    <w:p>
      <w:pPr>
        <w:adjustRightInd w:val="0"/>
        <w:snapToGrid w:val="0"/>
        <w:spacing w:line="400" w:lineRule="exact"/>
        <w:ind w:firstLine="482" w:firstLineChars="200"/>
        <w:rPr>
          <w:rFonts w:ascii="仿宋_GB2312" w:eastAsia="仿宋_GB2312"/>
          <w:b/>
          <w:color w:val="000000"/>
          <w:sz w:val="24"/>
          <w:highlight w:val="none"/>
        </w:rPr>
      </w:pPr>
      <w:r>
        <w:rPr>
          <w:rFonts w:hint="eastAsia" w:ascii="仿宋_GB2312" w:eastAsia="仿宋_GB2312"/>
          <w:b/>
          <w:color w:val="000000"/>
          <w:sz w:val="24"/>
          <w:highlight w:val="none"/>
        </w:rPr>
        <w:t>八、竣工验收、结算</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8.1竣工验收程序的约定：</w:t>
      </w:r>
      <w:r>
        <w:rPr>
          <w:rFonts w:hint="eastAsia" w:ascii="仿宋_GB2312" w:eastAsia="仿宋_GB2312"/>
          <w:color w:val="000000"/>
          <w:sz w:val="24"/>
          <w:highlight w:val="none"/>
          <w:u w:val="single"/>
        </w:rPr>
        <w:t>按通用条款有关规定执行</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8.2承包人完成竣工退场的期限及要求：</w:t>
      </w:r>
      <w:r>
        <w:rPr>
          <w:rFonts w:hint="eastAsia" w:ascii="仿宋_GB2312" w:eastAsia="仿宋_GB2312"/>
          <w:color w:val="000000"/>
          <w:sz w:val="24"/>
          <w:highlight w:val="none"/>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8.3承包人提交竣工结算申请单的期限：</w:t>
      </w:r>
      <w:r>
        <w:rPr>
          <w:rFonts w:hint="eastAsia" w:ascii="仿宋_GB2312" w:eastAsia="仿宋_GB2312"/>
          <w:color w:val="000000"/>
          <w:sz w:val="24"/>
          <w:highlight w:val="none"/>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Pr>
          <w:rFonts w:hint="eastAsia" w:ascii="仿宋_GB2312" w:eastAsia="仿宋_GB2312"/>
          <w:color w:val="000000"/>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color w:val="000000"/>
          <w:sz w:val="24"/>
          <w:highlight w:val="none"/>
        </w:rPr>
        <w:t>8.4发包方委托的审计</w:t>
      </w:r>
      <w:r>
        <w:rPr>
          <w:rFonts w:ascii="仿宋_GB2312" w:eastAsia="仿宋_GB2312"/>
          <w:color w:val="000000"/>
          <w:sz w:val="24"/>
          <w:highlight w:val="none"/>
        </w:rPr>
        <w:t>单位</w:t>
      </w:r>
      <w:r>
        <w:rPr>
          <w:rFonts w:hint="eastAsia" w:ascii="仿宋_GB2312" w:eastAsia="仿宋_GB2312"/>
          <w:color w:val="000000"/>
          <w:sz w:val="24"/>
          <w:highlight w:val="none"/>
        </w:rPr>
        <w:t>在接到承包方提交的完整的结算资料后30日内完成审核工作、提出初审意见；承包方在接到通知后7个工作日内没有来核对，或核对工作超过15个</w:t>
      </w:r>
      <w:r>
        <w:rPr>
          <w:rFonts w:hint="eastAsia" w:ascii="仿宋_GB2312" w:eastAsia="仿宋_GB2312"/>
          <w:sz w:val="24"/>
          <w:highlight w:val="none"/>
        </w:rPr>
        <w:t>工作日的，则不安排本年度的审计，延至下一年度重新安排审计工作。</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8.5工程派驻全过程造价控制项目组的，全过程造价控制项目组按照《南京大学建设工程管理审计实施办法》南字发[2017]74号文件的规定履行职责，承包人必须积极配合，服从发包人规定；工程签证按《南京大学建设工程管理审计实施办法》南字发[2017]74号文及《南京大学建设工程变更管理办法》南字发[2017]64号文办理，未经全过程造价控制人员审核的工程造价不得作为付款依据。</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8.6若工程竣工结算审减额超过送审额的5%</w:t>
      </w:r>
      <w:r>
        <w:rPr>
          <w:rFonts w:hint="eastAsia" w:ascii="仿宋_GB2312" w:eastAsia="仿宋_GB2312"/>
          <w:color w:val="000000"/>
          <w:sz w:val="24"/>
          <w:highlight w:val="none"/>
        </w:rPr>
        <w:t>（含5%），则全部审计费由承包人支付。工程竣工结算前，承包人需提交水电费结算证明及总包配合费结清证明后方可进行结算。付款时，承包人必须设立以法人单位为开户名称的帐户作为本项工程专用帐户，保证专款专</w:t>
      </w:r>
      <w:r>
        <w:rPr>
          <w:rFonts w:hint="eastAsia" w:ascii="仿宋_GB2312" w:eastAsia="仿宋_GB2312"/>
          <w:sz w:val="24"/>
          <w:highlight w:val="none"/>
        </w:rPr>
        <w:t>用，否则发包人将不予付款。所有分包单位申请工程款时均需由总包单位签字认可后发包人才能支付工程款。</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8.7承包人不得拖欠乙供材料供应商及工程分包商费用，否则，发包人有权直接支付并在工程结算时扣除，同时追究承包人违约经济责任（5000元/次）及相关法律责任。</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九、保修</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9.1工程保修范围、期限及要求：</w:t>
      </w:r>
      <w:r>
        <w:rPr>
          <w:rFonts w:hint="eastAsia" w:ascii="仿宋_GB2312" w:eastAsia="仿宋_GB2312"/>
          <w:sz w:val="24"/>
          <w:highlight w:val="none"/>
          <w:u w:val="single"/>
        </w:rPr>
        <w:t>按《建设工程质量管理条例》（国务院令第279号）及《房屋建筑工程质量保修办法》（建设部令第80号）规定执行</w:t>
      </w:r>
      <w:r>
        <w:rPr>
          <w:rFonts w:hint="eastAsia" w:ascii="仿宋_GB2312" w:eastAsia="仿宋_GB2312"/>
          <w:sz w:val="24"/>
          <w:highlight w:val="none"/>
        </w:rPr>
        <w:t>。</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本工程保修期为：</w:t>
      </w:r>
      <w:r>
        <w:rPr>
          <w:rFonts w:hint="eastAsia" w:ascii="仿宋_GB2312" w:eastAsia="仿宋_GB2312"/>
          <w:sz w:val="24"/>
          <w:highlight w:val="none"/>
          <w:u w:val="single"/>
        </w:rPr>
        <w:t xml:space="preserve"> </w:t>
      </w:r>
      <w:r>
        <w:rPr>
          <w:rFonts w:ascii="仿宋_GB2312" w:eastAsia="仿宋_GB2312"/>
          <w:sz w:val="24"/>
          <w:highlight w:val="none"/>
          <w:u w:val="single"/>
        </w:rPr>
        <w:t>2</w:t>
      </w:r>
      <w:r>
        <w:rPr>
          <w:rFonts w:hint="eastAsia" w:ascii="仿宋_GB2312" w:eastAsia="仿宋_GB2312"/>
          <w:sz w:val="24"/>
          <w:highlight w:val="none"/>
          <w:u w:val="single"/>
        </w:rPr>
        <w:t xml:space="preserve"> </w:t>
      </w:r>
      <w:r>
        <w:rPr>
          <w:rFonts w:hint="eastAsia" w:ascii="仿宋_GB2312" w:eastAsia="仿宋_GB2312"/>
          <w:sz w:val="24"/>
          <w:highlight w:val="none"/>
        </w:rPr>
        <w:t>年（不低于以上规定的期限），从工程竣工验收合格之日起计算。</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9.2承包人收到保修通知并到达工程现场的合理时间：</w:t>
      </w:r>
      <w:r>
        <w:rPr>
          <w:rFonts w:hint="eastAsia" w:ascii="仿宋_GB2312" w:eastAsia="仿宋_GB2312"/>
          <w:sz w:val="24"/>
          <w:highlight w:val="none"/>
          <w:u w:val="single"/>
        </w:rPr>
        <w:t>24小时内</w:t>
      </w:r>
      <w:r>
        <w:rPr>
          <w:rFonts w:hint="eastAsia" w:ascii="仿宋_GB2312" w:eastAsia="仿宋_GB2312"/>
          <w:sz w:val="24"/>
          <w:highlight w:val="none"/>
        </w:rPr>
        <w:t>。</w:t>
      </w:r>
    </w:p>
    <w:p>
      <w:pPr>
        <w:adjustRightInd w:val="0"/>
        <w:snapToGrid w:val="0"/>
        <w:spacing w:line="400" w:lineRule="exact"/>
        <w:ind w:firstLine="482" w:firstLineChars="200"/>
        <w:rPr>
          <w:rFonts w:ascii="仿宋_GB2312" w:eastAsia="仿宋_GB2312"/>
          <w:b/>
          <w:sz w:val="24"/>
          <w:highlight w:val="none"/>
        </w:rPr>
      </w:pPr>
      <w:r>
        <w:rPr>
          <w:rFonts w:hint="eastAsia" w:ascii="仿宋_GB2312" w:eastAsia="仿宋_GB2312"/>
          <w:b/>
          <w:sz w:val="24"/>
          <w:highlight w:val="none"/>
        </w:rPr>
        <w:t>十、违约责任</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10.1发包人违约的情形</w:t>
      </w:r>
    </w:p>
    <w:p>
      <w:pPr>
        <w:adjustRightInd w:val="0"/>
        <w:snapToGrid w:val="0"/>
        <w:spacing w:line="400" w:lineRule="exact"/>
        <w:ind w:firstLine="480" w:firstLineChars="200"/>
        <w:rPr>
          <w:rFonts w:ascii="仿宋_GB2312" w:eastAsia="仿宋_GB2312"/>
          <w:sz w:val="24"/>
          <w:highlight w:val="none"/>
        </w:rPr>
      </w:pPr>
      <w:r>
        <w:rPr>
          <w:rFonts w:hint="eastAsia" w:ascii="仿宋_GB2312" w:eastAsia="仿宋_GB2312"/>
          <w:sz w:val="24"/>
          <w:highlight w:val="none"/>
        </w:rPr>
        <w:t>10.1.1由于发包人原因对承包人符合合同约定条件的请款未支付的，发包人应承担银行同期贷款利息。</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sz w:val="24"/>
          <w:highlight w:val="none"/>
        </w:rPr>
        <w:t>10.1.2承包人按（发包人违约的情形）约定暂停施工满28天后发包人仍不纠正其违约行为并致使合同目的不能实现的，承包</w:t>
      </w:r>
      <w:r>
        <w:rPr>
          <w:rFonts w:hint="eastAsia" w:ascii="仿宋_GB2312" w:eastAsia="仿宋_GB2312"/>
          <w:color w:val="000000"/>
          <w:sz w:val="24"/>
          <w:highlight w:val="none"/>
        </w:rPr>
        <w:t>人有权解除合同。</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10.2承包人违约的情形</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10.2.1接到监理工程师开工令后7日内，承包人无正当理由推迟开工的，需向发包人支付1000元/天的违约金。</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10.2.3承包人违反合同约定采购和使用不合格的材料和工程设备，承包人需承担5000元/次的违约金。</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10.2.4承包人必须采取合理有效的措施，严格控制质量通病的发生，交验前细致检查并返修，交验后仍发现质量通病的，除立即返修外，还应按以下标准向发包人支付赔偿费用：卫生间渗漏</w:t>
      </w:r>
      <w:r>
        <w:rPr>
          <w:rFonts w:hint="eastAsia" w:ascii="仿宋_GB2312" w:eastAsia="仿宋_GB2312"/>
          <w:color w:val="000000"/>
          <w:sz w:val="24"/>
          <w:highlight w:val="none"/>
          <w:u w:val="single"/>
        </w:rPr>
        <w:t>2000</w:t>
      </w:r>
      <w:r>
        <w:rPr>
          <w:rFonts w:hint="eastAsia" w:ascii="仿宋_GB2312" w:eastAsia="仿宋_GB2312"/>
          <w:color w:val="000000"/>
          <w:sz w:val="24"/>
          <w:highlight w:val="none"/>
        </w:rPr>
        <w:t>元/处，外墙渗水</w:t>
      </w:r>
      <w:r>
        <w:rPr>
          <w:rFonts w:hint="eastAsia" w:ascii="仿宋_GB2312" w:eastAsia="仿宋_GB2312"/>
          <w:color w:val="000000"/>
          <w:sz w:val="24"/>
          <w:highlight w:val="none"/>
          <w:u w:val="single"/>
        </w:rPr>
        <w:t>2000</w:t>
      </w:r>
      <w:r>
        <w:rPr>
          <w:rFonts w:hint="eastAsia" w:ascii="仿宋_GB2312" w:eastAsia="仿宋_GB2312"/>
          <w:color w:val="000000"/>
          <w:sz w:val="24"/>
          <w:highlight w:val="none"/>
        </w:rPr>
        <w:t>元/处、屋面渗漏</w:t>
      </w:r>
      <w:r>
        <w:rPr>
          <w:rFonts w:hint="eastAsia" w:ascii="仿宋_GB2312" w:eastAsia="仿宋_GB2312"/>
          <w:color w:val="000000"/>
          <w:sz w:val="24"/>
          <w:highlight w:val="none"/>
          <w:u w:val="single"/>
        </w:rPr>
        <w:t>3000</w:t>
      </w:r>
      <w:r>
        <w:rPr>
          <w:rFonts w:hint="eastAsia" w:ascii="仿宋_GB2312" w:eastAsia="仿宋_GB2312"/>
          <w:color w:val="000000"/>
          <w:sz w:val="24"/>
          <w:highlight w:val="none"/>
        </w:rPr>
        <w:t>元/处、给水管渗漏</w:t>
      </w:r>
      <w:r>
        <w:rPr>
          <w:rFonts w:hint="eastAsia" w:ascii="仿宋_GB2312" w:eastAsia="仿宋_GB2312"/>
          <w:color w:val="000000"/>
          <w:sz w:val="24"/>
          <w:highlight w:val="none"/>
          <w:u w:val="single"/>
        </w:rPr>
        <w:t>3000</w:t>
      </w:r>
      <w:r>
        <w:rPr>
          <w:rFonts w:hint="eastAsia" w:ascii="仿宋_GB2312" w:eastAsia="仿宋_GB2312"/>
          <w:color w:val="000000"/>
          <w:sz w:val="24"/>
          <w:highlight w:val="none"/>
        </w:rPr>
        <w:t>元/处。</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10.2.5承包人违反合同约定进行转包或违法分包</w:t>
      </w:r>
      <w:r>
        <w:rPr>
          <w:rFonts w:ascii="仿宋_GB2312" w:eastAsia="仿宋_GB2312"/>
          <w:color w:val="000000"/>
          <w:sz w:val="24"/>
          <w:highlight w:val="none"/>
        </w:rPr>
        <w:t>以及未经</w:t>
      </w:r>
      <w:r>
        <w:rPr>
          <w:rFonts w:hint="eastAsia" w:ascii="仿宋_GB2312" w:eastAsia="仿宋_GB2312"/>
          <w:color w:val="000000"/>
          <w:sz w:val="24"/>
          <w:highlight w:val="none"/>
        </w:rPr>
        <w:t>发包人</w:t>
      </w:r>
      <w:r>
        <w:rPr>
          <w:rFonts w:ascii="仿宋_GB2312" w:eastAsia="仿宋_GB2312"/>
          <w:color w:val="000000"/>
          <w:sz w:val="24"/>
          <w:highlight w:val="none"/>
        </w:rPr>
        <w:t>同意的第三方进入现场施工，</w:t>
      </w:r>
      <w:r>
        <w:rPr>
          <w:rFonts w:hint="eastAsia" w:ascii="仿宋_GB2312" w:eastAsia="仿宋_GB2312"/>
          <w:color w:val="000000"/>
          <w:sz w:val="24"/>
          <w:highlight w:val="none"/>
        </w:rPr>
        <w:t>发包方</w:t>
      </w:r>
      <w:r>
        <w:rPr>
          <w:rFonts w:ascii="仿宋_GB2312" w:eastAsia="仿宋_GB2312"/>
          <w:color w:val="000000"/>
          <w:sz w:val="24"/>
          <w:highlight w:val="none"/>
        </w:rPr>
        <w:t>有权要求</w:t>
      </w:r>
      <w:r>
        <w:rPr>
          <w:rFonts w:hint="eastAsia" w:ascii="仿宋_GB2312" w:eastAsia="仿宋_GB2312"/>
          <w:color w:val="000000"/>
          <w:sz w:val="24"/>
          <w:highlight w:val="none"/>
        </w:rPr>
        <w:t>承包方</w:t>
      </w:r>
      <w:r>
        <w:rPr>
          <w:rFonts w:ascii="仿宋_GB2312" w:eastAsia="仿宋_GB2312"/>
          <w:color w:val="000000"/>
          <w:sz w:val="24"/>
          <w:highlight w:val="none"/>
        </w:rPr>
        <w:t>停工、</w:t>
      </w:r>
      <w:r>
        <w:rPr>
          <w:rFonts w:hint="eastAsia" w:ascii="仿宋_GB2312" w:eastAsia="仿宋_GB2312"/>
          <w:color w:val="000000"/>
          <w:sz w:val="24"/>
          <w:highlight w:val="none"/>
        </w:rPr>
        <w:t>退出</w:t>
      </w:r>
      <w:r>
        <w:rPr>
          <w:rFonts w:ascii="仿宋_GB2312" w:eastAsia="仿宋_GB2312"/>
          <w:color w:val="000000"/>
          <w:sz w:val="24"/>
          <w:highlight w:val="none"/>
        </w:rPr>
        <w:t>现场或</w:t>
      </w:r>
      <w:r>
        <w:rPr>
          <w:rFonts w:hint="eastAsia" w:ascii="仿宋_GB2312" w:eastAsia="仿宋_GB2312"/>
          <w:color w:val="000000"/>
          <w:sz w:val="24"/>
          <w:highlight w:val="none"/>
        </w:rPr>
        <w:t>解除</w:t>
      </w:r>
      <w:r>
        <w:rPr>
          <w:rFonts w:ascii="仿宋_GB2312" w:eastAsia="仿宋_GB2312"/>
          <w:color w:val="000000"/>
          <w:sz w:val="24"/>
          <w:highlight w:val="none"/>
        </w:rPr>
        <w:t>合同，由此造成的一切损失均由</w:t>
      </w:r>
      <w:r>
        <w:rPr>
          <w:rFonts w:hint="eastAsia" w:ascii="仿宋_GB2312" w:eastAsia="仿宋_GB2312"/>
          <w:color w:val="000000"/>
          <w:sz w:val="24"/>
          <w:highlight w:val="none"/>
        </w:rPr>
        <w:t>承包方</w:t>
      </w:r>
      <w:r>
        <w:rPr>
          <w:rFonts w:ascii="仿宋_GB2312" w:eastAsia="仿宋_GB2312"/>
          <w:color w:val="000000"/>
          <w:sz w:val="24"/>
          <w:highlight w:val="none"/>
        </w:rPr>
        <w:t>承担。</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10.2.7承包人明确表示或者以其行为表明不履行合同主要义务的，发包人有权解除合同。</w:t>
      </w:r>
    </w:p>
    <w:p>
      <w:pPr>
        <w:adjustRightInd w:val="0"/>
        <w:snapToGrid w:val="0"/>
        <w:spacing w:line="400" w:lineRule="exact"/>
        <w:ind w:firstLine="482" w:firstLineChars="200"/>
        <w:rPr>
          <w:rFonts w:ascii="仿宋_GB2312" w:eastAsia="仿宋_GB2312"/>
          <w:b/>
          <w:color w:val="000000"/>
          <w:sz w:val="24"/>
          <w:highlight w:val="none"/>
        </w:rPr>
      </w:pPr>
      <w:r>
        <w:rPr>
          <w:rFonts w:hint="eastAsia" w:ascii="仿宋_GB2312" w:eastAsia="仿宋_GB2312"/>
          <w:b/>
          <w:color w:val="000000"/>
          <w:sz w:val="24"/>
          <w:highlight w:val="none"/>
        </w:rPr>
        <w:t>十一、争议解决</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因履行本合同引起的或与本合同有关的争议，发、承包双方应当通过友好协商解决，如果协商不能解决争议的，则采取以下第</w:t>
      </w:r>
      <w:r>
        <w:rPr>
          <w:rFonts w:hint="eastAsia" w:ascii="仿宋_GB2312" w:eastAsia="仿宋_GB2312"/>
          <w:color w:val="000000"/>
          <w:sz w:val="24"/>
          <w:highlight w:val="none"/>
          <w:u w:val="single"/>
        </w:rPr>
        <w:t>（2）</w:t>
      </w:r>
      <w:r>
        <w:rPr>
          <w:rFonts w:hint="eastAsia" w:ascii="仿宋_GB2312" w:eastAsia="仿宋_GB2312"/>
          <w:color w:val="000000"/>
          <w:sz w:val="24"/>
          <w:highlight w:val="none"/>
        </w:rPr>
        <w:t>种方式解决争议：</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（1）向南京市有管辖权的地方人民法院提起诉讼；</w:t>
      </w:r>
    </w:p>
    <w:p>
      <w:pPr>
        <w:adjustRightInd w:val="0"/>
        <w:snapToGrid w:val="0"/>
        <w:spacing w:line="400" w:lineRule="exact"/>
        <w:ind w:firstLine="480" w:firstLineChars="200"/>
        <w:rPr>
          <w:rFonts w:ascii="仿宋_GB2312" w:eastAsia="仿宋_GB2312"/>
          <w:color w:val="000000"/>
          <w:sz w:val="24"/>
          <w:highlight w:val="none"/>
        </w:rPr>
      </w:pPr>
      <w:r>
        <w:rPr>
          <w:rFonts w:hint="eastAsia" w:ascii="仿宋_GB2312" w:eastAsia="仿宋_GB2312"/>
          <w:color w:val="000000"/>
          <w:sz w:val="24"/>
          <w:highlight w:val="none"/>
        </w:rPr>
        <w:t>（2）向南京仲裁委员会按其仲裁规则申请仲裁。</w:t>
      </w:r>
    </w:p>
    <w:p>
      <w:pPr>
        <w:rPr>
          <w:rFonts w:ascii="宋体" w:hAnsi="宋体" w:eastAsia="宋体"/>
          <w:b/>
          <w:kern w:val="44"/>
          <w:sz w:val="44"/>
          <w:highlight w:val="none"/>
        </w:rPr>
      </w:pPr>
    </w:p>
    <w:bookmarkEnd w:id="49"/>
    <w:p>
      <w:pPr>
        <w:rPr>
          <w:rFonts w:ascii="宋体" w:hAnsi="宋体" w:eastAsia="宋体"/>
          <w:b/>
          <w:snapToGrid w:val="0"/>
          <w:sz w:val="32"/>
          <w:highlight w:val="none"/>
        </w:rPr>
      </w:pPr>
      <w:bookmarkStart w:id="58" w:name="_Toc111371835"/>
      <w:bookmarkStart w:id="59" w:name="_Toc329097752"/>
      <w:r>
        <w:rPr>
          <w:rFonts w:ascii="宋体" w:hAnsi="宋体" w:eastAsia="宋体"/>
          <w:snapToGrid w:val="0"/>
          <w:highlight w:val="none"/>
        </w:rPr>
        <w:br w:type="page"/>
      </w:r>
    </w:p>
    <w:p>
      <w:pPr>
        <w:pStyle w:val="38"/>
        <w:rPr>
          <w:rFonts w:ascii="宋体" w:hAnsi="宋体" w:eastAsia="宋体"/>
          <w:snapToGrid w:val="0"/>
          <w:highlight w:val="none"/>
        </w:rPr>
      </w:pPr>
      <w:bookmarkStart w:id="60" w:name="_Toc7709"/>
      <w:r>
        <w:rPr>
          <w:rFonts w:hint="eastAsia" w:ascii="宋体" w:hAnsi="宋体" w:eastAsia="宋体"/>
          <w:snapToGrid w:val="0"/>
          <w:highlight w:val="none"/>
        </w:rPr>
        <w:t>第三章 技术规范</w:t>
      </w:r>
      <w:bookmarkEnd w:id="58"/>
      <w:bookmarkEnd w:id="60"/>
    </w:p>
    <w:p>
      <w:pPr>
        <w:rPr>
          <w:highlight w:val="none"/>
        </w:rPr>
      </w:pPr>
    </w:p>
    <w:p>
      <w:pPr>
        <w:pStyle w:val="4"/>
        <w:spacing w:before="120" w:after="120" w:line="360" w:lineRule="auto"/>
        <w:rPr>
          <w:rFonts w:ascii="宋体" w:hAnsi="宋体" w:eastAsia="宋体"/>
          <w:snapToGrid w:val="0"/>
          <w:sz w:val="28"/>
          <w:szCs w:val="28"/>
          <w:highlight w:val="none"/>
        </w:rPr>
      </w:pPr>
      <w:bookmarkStart w:id="61" w:name="_Toc29608"/>
      <w:r>
        <w:rPr>
          <w:rFonts w:hint="eastAsia" w:ascii="宋体" w:hAnsi="宋体" w:eastAsia="宋体"/>
          <w:snapToGrid w:val="0"/>
          <w:sz w:val="28"/>
          <w:szCs w:val="28"/>
          <w:highlight w:val="none"/>
        </w:rPr>
        <w:t>一、 本工程采用的计价规范</w:t>
      </w:r>
      <w:bookmarkEnd w:id="61"/>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 xml:space="preserve">《建设工程工程量清单计价规范》         </w:t>
      </w:r>
      <w:r>
        <w:rPr>
          <w:rFonts w:asciiTheme="minorEastAsia" w:hAnsiTheme="minorEastAsia" w:eastAsiaTheme="minorEastAsia"/>
          <w:snapToGrid w:val="0"/>
          <w:sz w:val="24"/>
          <w:szCs w:val="24"/>
          <w:highlight w:val="none"/>
        </w:rPr>
        <w:t>GB50500-20</w:t>
      </w:r>
      <w:r>
        <w:rPr>
          <w:rFonts w:hint="eastAsia" w:asciiTheme="minorEastAsia" w:hAnsiTheme="minorEastAsia" w:eastAsiaTheme="minorEastAsia"/>
          <w:snapToGrid w:val="0"/>
          <w:sz w:val="24"/>
          <w:szCs w:val="24"/>
          <w:highlight w:val="none"/>
        </w:rPr>
        <w:t>1</w:t>
      </w:r>
      <w:r>
        <w:rPr>
          <w:rFonts w:asciiTheme="minorEastAsia" w:hAnsiTheme="minorEastAsia" w:eastAsiaTheme="minorEastAsia"/>
          <w:snapToGrid w:val="0"/>
          <w:sz w:val="24"/>
          <w:szCs w:val="24"/>
          <w:highlight w:val="none"/>
        </w:rPr>
        <w:t>3</w:t>
      </w:r>
    </w:p>
    <w:p>
      <w:pPr>
        <w:pStyle w:val="4"/>
        <w:spacing w:before="120" w:after="120" w:line="360" w:lineRule="auto"/>
        <w:rPr>
          <w:rFonts w:ascii="宋体" w:hAnsi="宋体" w:eastAsia="宋体"/>
          <w:snapToGrid w:val="0"/>
          <w:sz w:val="28"/>
          <w:szCs w:val="28"/>
          <w:highlight w:val="none"/>
        </w:rPr>
      </w:pPr>
      <w:bookmarkStart w:id="62" w:name="_Toc21617"/>
      <w:r>
        <w:rPr>
          <w:rFonts w:hint="eastAsia" w:ascii="宋体" w:hAnsi="宋体" w:eastAsia="宋体"/>
          <w:snapToGrid w:val="0"/>
          <w:sz w:val="28"/>
          <w:szCs w:val="28"/>
          <w:highlight w:val="none"/>
        </w:rPr>
        <w:t>二、 本工程采用的技术规范</w:t>
      </w:r>
      <w:bookmarkEnd w:id="62"/>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现行国家及地方相关技术及验收规范。</w:t>
      </w:r>
    </w:p>
    <w:p>
      <w:pPr>
        <w:pStyle w:val="4"/>
        <w:spacing w:before="120" w:after="120" w:line="360" w:lineRule="auto"/>
        <w:rPr>
          <w:rFonts w:ascii="宋体" w:hAnsi="宋体" w:eastAsia="宋体"/>
          <w:snapToGrid w:val="0"/>
          <w:sz w:val="28"/>
          <w:szCs w:val="28"/>
          <w:highlight w:val="none"/>
        </w:rPr>
      </w:pPr>
      <w:bookmarkStart w:id="63" w:name="_Toc3725"/>
      <w:r>
        <w:rPr>
          <w:rFonts w:hint="eastAsia" w:ascii="宋体" w:hAnsi="宋体" w:eastAsia="宋体"/>
          <w:snapToGrid w:val="0"/>
          <w:sz w:val="28"/>
          <w:szCs w:val="28"/>
          <w:highlight w:val="none"/>
        </w:rPr>
        <w:t>三、 对施工工艺的特殊要求</w:t>
      </w:r>
      <w:bookmarkEnd w:id="63"/>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无</w:t>
      </w:r>
      <w:bookmarkStart w:id="64" w:name="_Toc111371836"/>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p>
    <w:p>
      <w:pPr>
        <w:tabs>
          <w:tab w:val="left" w:pos="0"/>
          <w:tab w:val="left" w:pos="567"/>
          <w:tab w:val="left" w:pos="993"/>
          <w:tab w:val="left" w:pos="1134"/>
        </w:tabs>
        <w:adjustRightInd w:val="0"/>
        <w:snapToGrid w:val="0"/>
        <w:spacing w:line="360" w:lineRule="auto"/>
        <w:ind w:firstLine="480" w:firstLineChars="200"/>
        <w:jc w:val="both"/>
        <w:rPr>
          <w:rFonts w:asciiTheme="minorEastAsia" w:hAnsiTheme="minorEastAsia" w:eastAsiaTheme="minorEastAsia"/>
          <w:snapToGrid w:val="0"/>
          <w:sz w:val="24"/>
          <w:szCs w:val="24"/>
          <w:highlight w:val="none"/>
        </w:rPr>
      </w:pPr>
    </w:p>
    <w:p>
      <w:pPr>
        <w:tabs>
          <w:tab w:val="left" w:pos="0"/>
          <w:tab w:val="left" w:pos="567"/>
          <w:tab w:val="left" w:pos="993"/>
          <w:tab w:val="left" w:pos="1134"/>
        </w:tabs>
        <w:adjustRightInd w:val="0"/>
        <w:snapToGrid w:val="0"/>
        <w:spacing w:line="360" w:lineRule="auto"/>
        <w:ind w:firstLine="643" w:firstLineChars="200"/>
        <w:jc w:val="both"/>
        <w:rPr>
          <w:rFonts w:ascii="宋体" w:hAnsi="宋体" w:eastAsia="宋体"/>
          <w:b/>
          <w:snapToGrid w:val="0"/>
          <w:sz w:val="32"/>
          <w:highlight w:val="none"/>
        </w:rPr>
      </w:pPr>
    </w:p>
    <w:p>
      <w:pPr>
        <w:pStyle w:val="38"/>
        <w:rPr>
          <w:rFonts w:ascii="宋体" w:hAnsi="宋体" w:eastAsia="宋体"/>
          <w:snapToGrid w:val="0"/>
          <w:highlight w:val="none"/>
        </w:rPr>
      </w:pPr>
      <w:bookmarkStart w:id="65" w:name="_Toc2244"/>
      <w:r>
        <w:rPr>
          <w:rFonts w:hint="eastAsia" w:ascii="宋体" w:hAnsi="宋体" w:eastAsia="宋体"/>
          <w:snapToGrid w:val="0"/>
          <w:highlight w:val="none"/>
        </w:rPr>
        <w:t>第四章 工程量清单</w:t>
      </w:r>
      <w:bookmarkEnd w:id="64"/>
      <w:r>
        <w:rPr>
          <w:rFonts w:hint="eastAsia" w:ascii="宋体" w:hAnsi="宋体" w:eastAsia="宋体"/>
          <w:snapToGrid w:val="0"/>
          <w:highlight w:val="none"/>
        </w:rPr>
        <w:t>（另附）</w:t>
      </w:r>
      <w:bookmarkEnd w:id="65"/>
    </w:p>
    <w:p>
      <w:pPr>
        <w:rPr>
          <w:highlight w:val="none"/>
        </w:rPr>
      </w:pPr>
      <w:bookmarkStart w:id="66" w:name="_Toc111371837"/>
    </w:p>
    <w:p>
      <w:pPr>
        <w:rPr>
          <w:highlight w:val="none"/>
        </w:rPr>
      </w:pPr>
    </w:p>
    <w:p>
      <w:pPr>
        <w:rPr>
          <w:highlight w:val="none"/>
        </w:rPr>
      </w:pPr>
    </w:p>
    <w:p>
      <w:pPr>
        <w:rPr>
          <w:highlight w:val="none"/>
        </w:rPr>
      </w:pPr>
    </w:p>
    <w:p>
      <w:pPr>
        <w:pStyle w:val="38"/>
        <w:rPr>
          <w:rFonts w:ascii="宋体" w:hAnsi="宋体" w:eastAsia="宋体"/>
          <w:snapToGrid w:val="0"/>
          <w:highlight w:val="none"/>
        </w:rPr>
      </w:pPr>
      <w:bookmarkStart w:id="67" w:name="_Toc9899"/>
      <w:r>
        <w:rPr>
          <w:rFonts w:hint="eastAsia" w:ascii="宋体" w:hAnsi="宋体" w:eastAsia="宋体"/>
          <w:snapToGrid w:val="0"/>
          <w:highlight w:val="none"/>
        </w:rPr>
        <w:t>第五章 图纸和技术资料</w:t>
      </w:r>
      <w:bookmarkEnd w:id="66"/>
      <w:r>
        <w:rPr>
          <w:rFonts w:hint="eastAsia" w:ascii="宋体" w:hAnsi="宋体" w:eastAsia="宋体"/>
          <w:snapToGrid w:val="0"/>
          <w:highlight w:val="none"/>
        </w:rPr>
        <w:t>（另附）</w:t>
      </w:r>
      <w:bookmarkEnd w:id="67"/>
    </w:p>
    <w:bookmarkEnd w:id="59"/>
    <w:p>
      <w:pPr>
        <w:rPr>
          <w:rFonts w:ascii="宋体" w:hAnsi="宋体" w:eastAsia="宋体"/>
          <w:b/>
          <w:snapToGrid w:val="0"/>
          <w:sz w:val="32"/>
          <w:highlight w:val="none"/>
        </w:rPr>
      </w:pPr>
      <w:bookmarkStart w:id="68" w:name="_Toc329097753"/>
      <w:r>
        <w:rPr>
          <w:rFonts w:ascii="宋体" w:hAnsi="宋体" w:eastAsia="宋体"/>
          <w:snapToGrid w:val="0"/>
          <w:highlight w:val="none"/>
        </w:rPr>
        <w:br w:type="page"/>
      </w:r>
    </w:p>
    <w:p>
      <w:pPr>
        <w:pStyle w:val="38"/>
        <w:rPr>
          <w:rFonts w:ascii="宋体" w:hAnsi="宋体" w:eastAsia="宋体"/>
          <w:snapToGrid w:val="0"/>
          <w:highlight w:val="none"/>
        </w:rPr>
      </w:pPr>
      <w:bookmarkStart w:id="69" w:name="_Toc21696"/>
      <w:r>
        <w:rPr>
          <w:rFonts w:hint="eastAsia" w:ascii="宋体" w:hAnsi="宋体" w:eastAsia="宋体"/>
          <w:snapToGrid w:val="0"/>
          <w:highlight w:val="none"/>
        </w:rPr>
        <w:t>第六章 投标文件（格式）</w:t>
      </w:r>
      <w:bookmarkEnd w:id="68"/>
      <w:bookmarkEnd w:id="69"/>
    </w:p>
    <w:p>
      <w:pPr>
        <w:tabs>
          <w:tab w:val="left" w:pos="1800"/>
        </w:tabs>
        <w:snapToGrid w:val="0"/>
        <w:spacing w:line="500" w:lineRule="atLeast"/>
        <w:ind w:left="661" w:leftChars="210" w:hanging="241" w:hangingChars="100"/>
        <w:jc w:val="center"/>
        <w:rPr>
          <w:rFonts w:ascii="宋体" w:hAnsi="宋体" w:eastAsia="宋体"/>
          <w:b/>
          <w:sz w:val="24"/>
          <w:highlight w:val="none"/>
        </w:rPr>
      </w:pPr>
    </w:p>
    <w:p>
      <w:pPr>
        <w:adjustRightInd w:val="0"/>
        <w:snapToGrid w:val="0"/>
        <w:spacing w:before="120" w:beforeLines="50" w:line="300" w:lineRule="auto"/>
        <w:jc w:val="center"/>
        <w:rPr>
          <w:rFonts w:hint="eastAsia" w:ascii="宋体" w:hAnsi="宋体" w:eastAsia="宋体"/>
          <w:sz w:val="52"/>
          <w:szCs w:val="52"/>
          <w:highlight w:val="none"/>
          <w:lang w:eastAsia="zh-CN"/>
        </w:rPr>
      </w:pPr>
      <w:r>
        <w:rPr>
          <w:rFonts w:hint="eastAsia" w:ascii="宋体" w:hAnsi="宋体" w:eastAsia="宋体"/>
          <w:sz w:val="52"/>
          <w:szCs w:val="52"/>
          <w:highlight w:val="none"/>
          <w:u w:val="single"/>
        </w:rPr>
        <w:t>南京大学仙林校区化学楼酸雾净化塔补水改造工程（新增水箱基础）</w:t>
      </w:r>
      <w:r>
        <w:rPr>
          <w:rFonts w:hint="eastAsia" w:ascii="宋体" w:hAnsi="宋体" w:eastAsia="宋体"/>
          <w:sz w:val="52"/>
          <w:szCs w:val="52"/>
          <w:highlight w:val="none"/>
          <w:lang w:eastAsia="zh-CN"/>
        </w:rPr>
        <w:t>项目</w:t>
      </w:r>
    </w:p>
    <w:p>
      <w:pPr>
        <w:pStyle w:val="21"/>
        <w:spacing w:line="264" w:lineRule="auto"/>
        <w:jc w:val="center"/>
        <w:rPr>
          <w:rFonts w:hAnsi="宋体"/>
          <w:sz w:val="36"/>
          <w:highlight w:val="none"/>
        </w:rPr>
      </w:pPr>
    </w:p>
    <w:p>
      <w:pPr>
        <w:pStyle w:val="21"/>
        <w:spacing w:line="264" w:lineRule="auto"/>
        <w:jc w:val="center"/>
        <w:rPr>
          <w:rFonts w:hAnsi="宋体"/>
          <w:b/>
          <w:sz w:val="84"/>
          <w:highlight w:val="none"/>
        </w:rPr>
      </w:pPr>
      <w:r>
        <w:rPr>
          <w:rFonts w:hint="eastAsia" w:hAnsi="宋体"/>
          <w:b/>
          <w:sz w:val="84"/>
          <w:highlight w:val="none"/>
        </w:rPr>
        <w:t>施工投标文件</w:t>
      </w:r>
    </w:p>
    <w:p>
      <w:pPr>
        <w:pStyle w:val="21"/>
        <w:spacing w:line="264" w:lineRule="auto"/>
        <w:jc w:val="center"/>
        <w:rPr>
          <w:rFonts w:hAnsi="宋体"/>
          <w:sz w:val="28"/>
          <w:szCs w:val="28"/>
          <w:highlight w:val="none"/>
        </w:rPr>
      </w:pPr>
    </w:p>
    <w:p>
      <w:pPr>
        <w:adjustRightInd w:val="0"/>
        <w:snapToGrid w:val="0"/>
        <w:spacing w:line="300" w:lineRule="auto"/>
        <w:jc w:val="center"/>
        <w:rPr>
          <w:rFonts w:ascii="宋体" w:hAnsi="宋体"/>
          <w:snapToGrid w:val="0"/>
          <w:spacing w:val="-20"/>
          <w:sz w:val="32"/>
          <w:szCs w:val="32"/>
          <w:highlight w:val="none"/>
          <w:u w:val="single"/>
        </w:rPr>
      </w:pPr>
    </w:p>
    <w:p>
      <w:pPr>
        <w:pStyle w:val="21"/>
        <w:spacing w:line="264" w:lineRule="auto"/>
        <w:rPr>
          <w:rFonts w:hAnsi="宋体"/>
          <w:sz w:val="28"/>
          <w:szCs w:val="28"/>
          <w:highlight w:val="none"/>
        </w:rPr>
      </w:pPr>
    </w:p>
    <w:p>
      <w:pPr>
        <w:pStyle w:val="21"/>
        <w:spacing w:line="264" w:lineRule="auto"/>
        <w:jc w:val="center"/>
        <w:rPr>
          <w:rFonts w:hAnsi="宋体"/>
          <w:sz w:val="28"/>
          <w:szCs w:val="28"/>
          <w:highlight w:val="none"/>
        </w:rPr>
      </w:pPr>
    </w:p>
    <w:p>
      <w:pPr>
        <w:pStyle w:val="21"/>
        <w:spacing w:line="264" w:lineRule="auto"/>
        <w:jc w:val="center"/>
        <w:rPr>
          <w:rFonts w:hAnsi="宋体"/>
          <w:sz w:val="24"/>
          <w:szCs w:val="24"/>
          <w:highlight w:val="none"/>
        </w:rPr>
      </w:pPr>
    </w:p>
    <w:p>
      <w:pPr>
        <w:pStyle w:val="21"/>
        <w:spacing w:line="840" w:lineRule="auto"/>
        <w:ind w:left="630" w:leftChars="315" w:firstLine="600" w:firstLineChars="250"/>
        <w:rPr>
          <w:rFonts w:hAnsi="宋体"/>
          <w:sz w:val="24"/>
          <w:szCs w:val="24"/>
          <w:highlight w:val="none"/>
        </w:rPr>
      </w:pPr>
    </w:p>
    <w:p>
      <w:pPr>
        <w:pStyle w:val="21"/>
        <w:spacing w:line="840" w:lineRule="auto"/>
        <w:rPr>
          <w:rFonts w:hAnsi="宋体"/>
          <w:sz w:val="24"/>
          <w:szCs w:val="24"/>
          <w:highlight w:val="none"/>
        </w:rPr>
      </w:pPr>
    </w:p>
    <w:p>
      <w:pPr>
        <w:pStyle w:val="21"/>
        <w:spacing w:line="840" w:lineRule="auto"/>
        <w:ind w:left="630" w:leftChars="315" w:firstLine="750" w:firstLineChars="250"/>
        <w:rPr>
          <w:rFonts w:hAnsi="宋体"/>
          <w:b/>
          <w:sz w:val="30"/>
          <w:highlight w:val="none"/>
          <w:u w:val="single"/>
        </w:rPr>
      </w:pPr>
      <w:r>
        <w:rPr>
          <w:rFonts w:hint="eastAsia" w:hAnsi="宋体"/>
          <w:b/>
          <w:sz w:val="30"/>
          <w:highlight w:val="none"/>
        </w:rPr>
        <w:t>投</w:t>
      </w:r>
      <w:r>
        <w:rPr>
          <w:rFonts w:hAnsi="宋体"/>
          <w:b/>
          <w:sz w:val="30"/>
          <w:highlight w:val="none"/>
        </w:rPr>
        <w:t xml:space="preserve">   </w:t>
      </w:r>
      <w:r>
        <w:rPr>
          <w:rFonts w:hint="eastAsia" w:hAnsi="宋体"/>
          <w:b/>
          <w:sz w:val="30"/>
          <w:highlight w:val="none"/>
        </w:rPr>
        <w:t>标</w:t>
      </w:r>
      <w:r>
        <w:rPr>
          <w:rFonts w:hAnsi="宋体"/>
          <w:b/>
          <w:sz w:val="30"/>
          <w:highlight w:val="none"/>
        </w:rPr>
        <w:t xml:space="preserve">  </w:t>
      </w:r>
      <w:r>
        <w:rPr>
          <w:rFonts w:hint="eastAsia" w:hAnsi="宋体"/>
          <w:b/>
          <w:sz w:val="30"/>
          <w:highlight w:val="none"/>
        </w:rPr>
        <w:t>人（章）：</w:t>
      </w:r>
      <w:r>
        <w:rPr>
          <w:rFonts w:hAnsi="宋体"/>
          <w:b/>
          <w:sz w:val="30"/>
          <w:highlight w:val="none"/>
          <w:u w:val="single"/>
        </w:rPr>
        <w:t>_</w:t>
      </w:r>
      <w:r>
        <w:rPr>
          <w:rFonts w:hint="eastAsia" w:hAnsi="宋体"/>
          <w:b/>
          <w:sz w:val="30"/>
          <w:highlight w:val="none"/>
          <w:u w:val="single"/>
        </w:rPr>
        <w:t xml:space="preserve">                     </w:t>
      </w:r>
      <w:r>
        <w:rPr>
          <w:rFonts w:hAnsi="宋体"/>
          <w:b/>
          <w:sz w:val="30"/>
          <w:highlight w:val="none"/>
          <w:u w:val="single"/>
        </w:rPr>
        <w:t>_</w:t>
      </w:r>
      <w:r>
        <w:rPr>
          <w:rFonts w:hint="eastAsia" w:hAnsi="宋体"/>
          <w:b/>
          <w:sz w:val="30"/>
          <w:highlight w:val="none"/>
        </w:rPr>
        <w:t xml:space="preserve">   </w:t>
      </w:r>
    </w:p>
    <w:p>
      <w:pPr>
        <w:pStyle w:val="21"/>
        <w:spacing w:line="840" w:lineRule="auto"/>
        <w:ind w:left="630" w:leftChars="315" w:firstLine="750" w:firstLineChars="250"/>
        <w:rPr>
          <w:rFonts w:hAnsi="宋体"/>
          <w:b/>
          <w:sz w:val="30"/>
          <w:highlight w:val="none"/>
          <w:u w:val="single"/>
        </w:rPr>
      </w:pPr>
      <w:r>
        <w:rPr>
          <w:rFonts w:hint="eastAsia" w:hAnsi="宋体"/>
          <w:b/>
          <w:sz w:val="30"/>
          <w:highlight w:val="none"/>
        </w:rPr>
        <w:t>法定代表人或委托代理人（签字）：</w:t>
      </w:r>
      <w:r>
        <w:rPr>
          <w:rFonts w:hint="eastAsia" w:hAnsi="宋体"/>
          <w:b/>
          <w:sz w:val="30"/>
          <w:highlight w:val="none"/>
          <w:u w:val="single"/>
        </w:rPr>
        <w:t xml:space="preserve">         </w:t>
      </w:r>
      <w:r>
        <w:rPr>
          <w:rFonts w:hAnsi="宋体"/>
          <w:b/>
          <w:sz w:val="30"/>
          <w:highlight w:val="none"/>
          <w:u w:val="single"/>
        </w:rPr>
        <w:t>_</w:t>
      </w:r>
    </w:p>
    <w:p>
      <w:pPr>
        <w:pStyle w:val="21"/>
        <w:spacing w:line="840" w:lineRule="auto"/>
        <w:ind w:left="630" w:leftChars="315" w:firstLine="750" w:firstLineChars="250"/>
        <w:rPr>
          <w:rFonts w:hAnsi="宋体"/>
          <w:b/>
          <w:sz w:val="72"/>
          <w:highlight w:val="none"/>
        </w:rPr>
      </w:pPr>
      <w:r>
        <w:rPr>
          <w:rFonts w:hint="eastAsia" w:hAnsi="宋体"/>
          <w:b/>
          <w:sz w:val="30"/>
          <w:highlight w:val="none"/>
        </w:rPr>
        <w:t>日     期：</w:t>
      </w:r>
      <w:r>
        <w:rPr>
          <w:rFonts w:hint="eastAsia" w:hAnsi="宋体"/>
          <w:b/>
          <w:sz w:val="30"/>
          <w:highlight w:val="none"/>
          <w:u w:val="single"/>
        </w:rPr>
        <w:t xml:space="preserve">      </w:t>
      </w:r>
      <w:r>
        <w:rPr>
          <w:rFonts w:hint="eastAsia" w:hAnsi="宋体"/>
          <w:b/>
          <w:sz w:val="30"/>
          <w:highlight w:val="none"/>
        </w:rPr>
        <w:t xml:space="preserve">年 </w:t>
      </w:r>
      <w:r>
        <w:rPr>
          <w:rFonts w:hint="eastAsia" w:hAnsi="宋体"/>
          <w:b/>
          <w:sz w:val="30"/>
          <w:highlight w:val="none"/>
          <w:u w:val="single"/>
        </w:rPr>
        <w:t xml:space="preserve">     </w:t>
      </w:r>
      <w:r>
        <w:rPr>
          <w:rFonts w:hint="eastAsia" w:hAnsi="宋体"/>
          <w:b/>
          <w:sz w:val="30"/>
          <w:highlight w:val="none"/>
        </w:rPr>
        <w:t xml:space="preserve">月 </w:t>
      </w:r>
      <w:r>
        <w:rPr>
          <w:rFonts w:hAnsi="宋体"/>
          <w:b/>
          <w:sz w:val="30"/>
          <w:highlight w:val="none"/>
          <w:u w:val="single"/>
        </w:rPr>
        <w:t>_</w:t>
      </w:r>
      <w:r>
        <w:rPr>
          <w:rFonts w:hint="eastAsia" w:hAnsi="宋体"/>
          <w:b/>
          <w:sz w:val="30"/>
          <w:highlight w:val="none"/>
          <w:u w:val="single"/>
        </w:rPr>
        <w:t xml:space="preserve">    </w:t>
      </w:r>
      <w:r>
        <w:rPr>
          <w:rFonts w:hint="eastAsia" w:hAnsi="宋体"/>
          <w:b/>
          <w:sz w:val="30"/>
          <w:highlight w:val="none"/>
        </w:rPr>
        <w:t>日</w:t>
      </w:r>
    </w:p>
    <w:p>
      <w:pPr>
        <w:pStyle w:val="4"/>
        <w:rPr>
          <w:rFonts w:ascii="宋体" w:hAnsi="宋体" w:eastAsia="宋体"/>
          <w:snapToGrid w:val="0"/>
          <w:highlight w:val="none"/>
        </w:rPr>
      </w:pPr>
      <w:bookmarkStart w:id="70" w:name="_Toc111371839"/>
      <w:bookmarkStart w:id="71" w:name="_Toc27348"/>
      <w:r>
        <w:rPr>
          <w:rFonts w:hint="eastAsia" w:ascii="宋体" w:hAnsi="宋体" w:eastAsia="宋体"/>
          <w:snapToGrid w:val="0"/>
          <w:highlight w:val="none"/>
        </w:rPr>
        <w:t>一、投标函</w:t>
      </w:r>
      <w:bookmarkEnd w:id="70"/>
      <w:bookmarkEnd w:id="71"/>
      <w:bookmarkStart w:id="72" w:name="_Toc111371840"/>
    </w:p>
    <w:bookmarkEnd w:id="72"/>
    <w:p>
      <w:pPr>
        <w:pStyle w:val="21"/>
        <w:adjustRightInd w:val="0"/>
        <w:snapToGrid w:val="0"/>
        <w:spacing w:line="360" w:lineRule="auto"/>
        <w:rPr>
          <w:rFonts w:hAnsi="宋体"/>
          <w:highlight w:val="none"/>
          <w:u w:val="single"/>
        </w:rPr>
      </w:pPr>
      <w:r>
        <w:rPr>
          <w:rFonts w:hint="eastAsia" w:hAnsi="宋体"/>
          <w:highlight w:val="none"/>
        </w:rPr>
        <w:t>招标人：</w:t>
      </w:r>
      <w:r>
        <w:rPr>
          <w:rFonts w:hint="eastAsia" w:hAnsi="宋体"/>
          <w:highlight w:val="none"/>
          <w:u w:val="single"/>
        </w:rPr>
        <w:t xml:space="preserve">                </w:t>
      </w:r>
    </w:p>
    <w:p>
      <w:pPr>
        <w:pStyle w:val="21"/>
        <w:adjustRightInd w:val="0"/>
        <w:snapToGrid w:val="0"/>
        <w:spacing w:line="360" w:lineRule="auto"/>
        <w:ind w:left="673" w:leftChars="179" w:hanging="315" w:hangingChars="150"/>
        <w:rPr>
          <w:rFonts w:hAnsi="宋体"/>
          <w:highlight w:val="none"/>
        </w:rPr>
      </w:pPr>
      <w:r>
        <w:rPr>
          <w:rFonts w:hint="eastAsia" w:hAnsi="宋体"/>
          <w:highlight w:val="none"/>
        </w:rPr>
        <w:t>1、根据已收到的</w:t>
      </w:r>
      <w:r>
        <w:rPr>
          <w:rFonts w:hint="eastAsia" w:hAnsi="宋体"/>
          <w:highlight w:val="none"/>
          <w:u w:val="single"/>
        </w:rPr>
        <w:t xml:space="preserve">                </w:t>
      </w:r>
      <w:r>
        <w:rPr>
          <w:rFonts w:hint="eastAsia" w:hAnsi="宋体"/>
          <w:highlight w:val="none"/>
        </w:rPr>
        <w:t>工程的招标文件，我单位经考察现场和研究上述工程招标文件的投标须知、合同条件、技术规范、图纸、工程量清单和其他有关文件后，我方愿以人民币</w:t>
      </w:r>
      <w:r>
        <w:rPr>
          <w:rFonts w:hint="eastAsia" w:hAnsi="宋体"/>
          <w:highlight w:val="none"/>
          <w:u w:val="single"/>
        </w:rPr>
        <w:t xml:space="preserve">      </w:t>
      </w:r>
      <w:r>
        <w:rPr>
          <w:rFonts w:hint="eastAsia" w:hAnsi="宋体"/>
          <w:highlight w:val="none"/>
        </w:rPr>
        <w:t>元（￥：</w:t>
      </w:r>
      <w:r>
        <w:rPr>
          <w:rFonts w:hint="eastAsia" w:hAnsi="宋体"/>
          <w:highlight w:val="none"/>
          <w:u w:val="single"/>
        </w:rPr>
        <w:t xml:space="preserve">      </w:t>
      </w:r>
      <w:r>
        <w:rPr>
          <w:rFonts w:hint="eastAsia" w:hAnsi="宋体"/>
          <w:highlight w:val="none"/>
        </w:rPr>
        <w:t>元）的总价，按上述合同条件、技术规范、图纸、工程量清单的条件承包上述工程的施工、竣工和保修。</w:t>
      </w:r>
    </w:p>
    <w:p>
      <w:pPr>
        <w:pStyle w:val="21"/>
        <w:adjustRightInd w:val="0"/>
        <w:snapToGrid w:val="0"/>
        <w:spacing w:line="360" w:lineRule="auto"/>
        <w:ind w:left="673" w:leftChars="179" w:hanging="315" w:hangingChars="150"/>
        <w:rPr>
          <w:rFonts w:hAnsi="宋体"/>
          <w:highlight w:val="none"/>
        </w:rPr>
      </w:pPr>
      <w:r>
        <w:rPr>
          <w:rFonts w:hint="eastAsia" w:hAnsi="宋体"/>
          <w:highlight w:val="none"/>
        </w:rPr>
        <w:t>2、一旦我方中标，我方保证在</w:t>
      </w:r>
      <w:r>
        <w:rPr>
          <w:rFonts w:hint="eastAsia" w:hAnsi="宋体"/>
          <w:highlight w:val="none"/>
          <w:u w:val="single"/>
        </w:rPr>
        <w:t xml:space="preserve">       </w:t>
      </w:r>
      <w:r>
        <w:rPr>
          <w:rFonts w:hint="eastAsia" w:hAnsi="宋体"/>
          <w:highlight w:val="none"/>
        </w:rPr>
        <w:t>天(日历日)内竣工并移交整个工程且质量标准为</w:t>
      </w:r>
      <w:r>
        <w:rPr>
          <w:rFonts w:hint="eastAsia" w:hAnsi="宋体"/>
          <w:highlight w:val="none"/>
          <w:u w:val="single"/>
        </w:rPr>
        <w:t>国家质量验收合格标准</w:t>
      </w:r>
      <w:r>
        <w:rPr>
          <w:rFonts w:hint="eastAsia" w:hAnsi="宋体"/>
          <w:highlight w:val="none"/>
        </w:rPr>
        <w:t>。</w:t>
      </w:r>
    </w:p>
    <w:p>
      <w:pPr>
        <w:pStyle w:val="21"/>
        <w:adjustRightInd w:val="0"/>
        <w:snapToGrid w:val="0"/>
        <w:spacing w:line="360" w:lineRule="auto"/>
        <w:ind w:firstLine="359"/>
        <w:rPr>
          <w:rFonts w:hAnsi="宋体"/>
          <w:highlight w:val="none"/>
        </w:rPr>
      </w:pPr>
      <w:r>
        <w:rPr>
          <w:rFonts w:hint="eastAsia" w:hAnsi="宋体"/>
          <w:highlight w:val="none"/>
        </w:rPr>
        <w:t xml:space="preserve">3、如果我方中标，将派出 </w:t>
      </w:r>
      <w:r>
        <w:rPr>
          <w:rFonts w:hint="eastAsia" w:hAnsi="宋体"/>
          <w:highlight w:val="none"/>
          <w:u w:val="single"/>
        </w:rPr>
        <w:t xml:space="preserve">          </w:t>
      </w:r>
      <w:r>
        <w:rPr>
          <w:rFonts w:hint="eastAsia" w:hAnsi="宋体"/>
          <w:highlight w:val="none"/>
        </w:rPr>
        <w:t>（项目经理姓名）作为本工程的项目经理。</w:t>
      </w:r>
    </w:p>
    <w:p>
      <w:pPr>
        <w:pStyle w:val="21"/>
        <w:adjustRightInd w:val="0"/>
        <w:snapToGrid w:val="0"/>
        <w:spacing w:line="360" w:lineRule="auto"/>
        <w:ind w:firstLine="359"/>
        <w:rPr>
          <w:rFonts w:hAnsi="宋体"/>
          <w:highlight w:val="none"/>
        </w:rPr>
      </w:pPr>
      <w:r>
        <w:rPr>
          <w:rFonts w:hint="eastAsia" w:hAnsi="宋体"/>
          <w:highlight w:val="none"/>
        </w:rPr>
        <w:t>4、我方接受招标文件中的工程款预付及支付条件。</w:t>
      </w:r>
    </w:p>
    <w:p>
      <w:pPr>
        <w:pStyle w:val="21"/>
        <w:adjustRightInd w:val="0"/>
        <w:snapToGrid w:val="0"/>
        <w:spacing w:line="360" w:lineRule="auto"/>
        <w:ind w:left="673" w:leftChars="179" w:hanging="315" w:hangingChars="150"/>
        <w:rPr>
          <w:rFonts w:hAnsi="宋体"/>
          <w:highlight w:val="none"/>
        </w:rPr>
      </w:pPr>
      <w:r>
        <w:rPr>
          <w:rFonts w:hint="eastAsia" w:hAnsi="宋体"/>
          <w:highlight w:val="none"/>
        </w:rPr>
        <w:t>5、我方同意所递交的投标文件在“投标须知”前附表规定的投标有效期内有效，在此期间内我方的投标有可能中标，我方将受此约束。</w:t>
      </w:r>
    </w:p>
    <w:p>
      <w:pPr>
        <w:pStyle w:val="21"/>
        <w:adjustRightInd w:val="0"/>
        <w:snapToGrid w:val="0"/>
        <w:spacing w:line="360" w:lineRule="auto"/>
        <w:ind w:left="673" w:leftChars="179" w:hanging="315" w:hangingChars="150"/>
        <w:rPr>
          <w:rFonts w:hAnsi="宋体"/>
          <w:highlight w:val="none"/>
        </w:rPr>
      </w:pPr>
      <w:r>
        <w:rPr>
          <w:rFonts w:hint="eastAsia" w:hAnsi="宋体"/>
          <w:highlight w:val="none"/>
        </w:rPr>
        <w:t>6、除非另外达成协议并生效，你方的中标通知书和本投标文件将构成约束我们双方的合同。</w:t>
      </w:r>
    </w:p>
    <w:p>
      <w:pPr>
        <w:pStyle w:val="21"/>
        <w:adjustRightInd w:val="0"/>
        <w:snapToGrid w:val="0"/>
        <w:spacing w:line="300" w:lineRule="auto"/>
        <w:rPr>
          <w:rFonts w:hAnsi="宋体"/>
          <w:highlight w:val="none"/>
        </w:rPr>
      </w:pPr>
    </w:p>
    <w:p>
      <w:pPr>
        <w:pStyle w:val="21"/>
        <w:adjustRightInd w:val="0"/>
        <w:snapToGrid w:val="0"/>
        <w:spacing w:line="360" w:lineRule="auto"/>
        <w:ind w:firstLine="359"/>
        <w:rPr>
          <w:rFonts w:hAnsi="宋体"/>
          <w:highlight w:val="none"/>
        </w:rPr>
      </w:pPr>
      <w:r>
        <w:rPr>
          <w:rFonts w:hint="eastAsia" w:hAnsi="宋体"/>
          <w:highlight w:val="none"/>
        </w:rPr>
        <w:t>投标人：(盖章)</w:t>
      </w:r>
    </w:p>
    <w:p>
      <w:pPr>
        <w:pStyle w:val="21"/>
        <w:adjustRightInd w:val="0"/>
        <w:snapToGrid w:val="0"/>
        <w:spacing w:line="360" w:lineRule="auto"/>
        <w:ind w:firstLine="359"/>
        <w:rPr>
          <w:rFonts w:hAnsi="宋体"/>
          <w:highlight w:val="none"/>
        </w:rPr>
      </w:pPr>
      <w:r>
        <w:rPr>
          <w:rFonts w:hint="eastAsia" w:hAnsi="宋体"/>
          <w:highlight w:val="none"/>
        </w:rPr>
        <w:t>单位地址：</w:t>
      </w:r>
    </w:p>
    <w:p>
      <w:pPr>
        <w:pStyle w:val="21"/>
        <w:adjustRightInd w:val="0"/>
        <w:snapToGrid w:val="0"/>
        <w:spacing w:line="360" w:lineRule="auto"/>
        <w:ind w:firstLine="359"/>
        <w:rPr>
          <w:rFonts w:hAnsi="宋体"/>
          <w:highlight w:val="none"/>
        </w:rPr>
      </w:pPr>
      <w:r>
        <w:rPr>
          <w:rFonts w:hint="eastAsia" w:hAnsi="宋体"/>
          <w:highlight w:val="none"/>
        </w:rPr>
        <w:t>法定代表人或委托代理人：(签字或盖章)</w:t>
      </w:r>
    </w:p>
    <w:p>
      <w:pPr>
        <w:pStyle w:val="21"/>
        <w:adjustRightInd w:val="0"/>
        <w:snapToGrid w:val="0"/>
        <w:spacing w:line="360" w:lineRule="auto"/>
        <w:ind w:firstLine="359"/>
        <w:rPr>
          <w:rFonts w:hAnsi="宋体"/>
          <w:highlight w:val="none"/>
        </w:rPr>
      </w:pPr>
      <w:r>
        <w:rPr>
          <w:rFonts w:hint="eastAsia" w:hAnsi="宋体"/>
          <w:highlight w:val="none"/>
        </w:rPr>
        <w:t>邮政编码：</w:t>
      </w:r>
    </w:p>
    <w:p>
      <w:pPr>
        <w:pStyle w:val="21"/>
        <w:adjustRightInd w:val="0"/>
        <w:snapToGrid w:val="0"/>
        <w:spacing w:line="360" w:lineRule="auto"/>
        <w:ind w:firstLine="359"/>
        <w:rPr>
          <w:rFonts w:hAnsi="宋体"/>
          <w:highlight w:val="none"/>
        </w:rPr>
      </w:pPr>
      <w:r>
        <w:rPr>
          <w:rFonts w:hint="eastAsia" w:hAnsi="宋体"/>
          <w:highlight w:val="none"/>
        </w:rPr>
        <w:t>电话：</w:t>
      </w:r>
    </w:p>
    <w:p>
      <w:pPr>
        <w:pStyle w:val="21"/>
        <w:adjustRightInd w:val="0"/>
        <w:snapToGrid w:val="0"/>
        <w:spacing w:line="360" w:lineRule="auto"/>
        <w:ind w:firstLine="359"/>
        <w:rPr>
          <w:rFonts w:hAnsi="宋体"/>
          <w:highlight w:val="none"/>
        </w:rPr>
      </w:pPr>
      <w:r>
        <w:rPr>
          <w:rFonts w:hint="eastAsia" w:hAnsi="宋体"/>
          <w:highlight w:val="none"/>
        </w:rPr>
        <w:t>传真：</w:t>
      </w:r>
    </w:p>
    <w:p>
      <w:pPr>
        <w:pStyle w:val="21"/>
        <w:adjustRightInd w:val="0"/>
        <w:snapToGrid w:val="0"/>
        <w:spacing w:line="360" w:lineRule="auto"/>
        <w:ind w:firstLine="359"/>
        <w:rPr>
          <w:rFonts w:hAnsi="宋体"/>
          <w:highlight w:val="none"/>
        </w:rPr>
      </w:pPr>
      <w:r>
        <w:rPr>
          <w:rFonts w:hint="eastAsia" w:hAnsi="宋体"/>
          <w:highlight w:val="none"/>
        </w:rPr>
        <w:t>开户银行名称：</w:t>
      </w:r>
    </w:p>
    <w:p>
      <w:pPr>
        <w:pStyle w:val="21"/>
        <w:adjustRightInd w:val="0"/>
        <w:snapToGrid w:val="0"/>
        <w:spacing w:line="360" w:lineRule="auto"/>
        <w:ind w:firstLine="359"/>
        <w:rPr>
          <w:rFonts w:hAnsi="宋体"/>
          <w:highlight w:val="none"/>
        </w:rPr>
      </w:pPr>
      <w:r>
        <w:rPr>
          <w:rFonts w:hint="eastAsia" w:hAnsi="宋体"/>
          <w:highlight w:val="none"/>
        </w:rPr>
        <w:t>银行帐号：</w:t>
      </w:r>
    </w:p>
    <w:p>
      <w:pPr>
        <w:pStyle w:val="21"/>
        <w:adjustRightInd w:val="0"/>
        <w:snapToGrid w:val="0"/>
        <w:spacing w:line="360" w:lineRule="auto"/>
        <w:ind w:firstLine="359"/>
        <w:rPr>
          <w:rFonts w:hAnsi="宋体"/>
          <w:highlight w:val="none"/>
        </w:rPr>
      </w:pPr>
      <w:r>
        <w:rPr>
          <w:rFonts w:hint="eastAsia" w:hAnsi="宋体"/>
          <w:highlight w:val="none"/>
        </w:rPr>
        <w:t>开户行地址：</w:t>
      </w:r>
    </w:p>
    <w:p>
      <w:pPr>
        <w:pStyle w:val="21"/>
        <w:adjustRightInd w:val="0"/>
        <w:snapToGrid w:val="0"/>
        <w:spacing w:line="360" w:lineRule="auto"/>
        <w:ind w:firstLine="359"/>
        <w:rPr>
          <w:rFonts w:hAnsi="宋体"/>
          <w:highlight w:val="none"/>
        </w:rPr>
      </w:pPr>
      <w:r>
        <w:rPr>
          <w:rFonts w:hint="eastAsia" w:hAnsi="宋体"/>
          <w:highlight w:val="none"/>
        </w:rPr>
        <w:t>电话：</w:t>
      </w:r>
    </w:p>
    <w:p>
      <w:pPr>
        <w:pStyle w:val="21"/>
        <w:adjustRightInd w:val="0"/>
        <w:snapToGrid w:val="0"/>
        <w:spacing w:line="360" w:lineRule="auto"/>
        <w:ind w:firstLine="420" w:firstLineChars="200"/>
        <w:rPr>
          <w:rFonts w:hAnsi="宋体"/>
          <w:highlight w:val="none"/>
        </w:rPr>
      </w:pPr>
    </w:p>
    <w:p>
      <w:pPr>
        <w:pStyle w:val="21"/>
        <w:adjustRightInd w:val="0"/>
        <w:snapToGrid w:val="0"/>
        <w:spacing w:line="360" w:lineRule="auto"/>
        <w:ind w:firstLine="5460" w:firstLineChars="2600"/>
        <w:rPr>
          <w:rFonts w:hAnsi="宋体"/>
          <w:highlight w:val="none"/>
        </w:rPr>
      </w:pPr>
      <w:r>
        <w:rPr>
          <w:rFonts w:hint="eastAsia" w:hAnsi="宋体"/>
          <w:highlight w:val="none"/>
        </w:rPr>
        <w:t>日期：</w:t>
      </w:r>
      <w:r>
        <w:rPr>
          <w:rFonts w:hint="eastAsia" w:hAnsi="宋体"/>
          <w:highlight w:val="none"/>
          <w:u w:val="single"/>
        </w:rPr>
        <w:t xml:space="preserve">     </w:t>
      </w:r>
      <w:r>
        <w:rPr>
          <w:rFonts w:hint="eastAsia" w:hAnsi="宋体"/>
          <w:highlight w:val="none"/>
        </w:rPr>
        <w:t xml:space="preserve"> 年</w:t>
      </w:r>
      <w:r>
        <w:rPr>
          <w:rFonts w:hint="eastAsia" w:hAnsi="宋体"/>
          <w:highlight w:val="none"/>
          <w:u w:val="single"/>
        </w:rPr>
        <w:t xml:space="preserve">     </w:t>
      </w:r>
      <w:r>
        <w:rPr>
          <w:rFonts w:hint="eastAsia" w:hAnsi="宋体"/>
          <w:highlight w:val="none"/>
        </w:rPr>
        <w:t xml:space="preserve"> 月</w:t>
      </w:r>
      <w:r>
        <w:rPr>
          <w:rFonts w:hint="eastAsia" w:hAnsi="宋体"/>
          <w:highlight w:val="none"/>
          <w:u w:val="single"/>
        </w:rPr>
        <w:t xml:space="preserve">     </w:t>
      </w:r>
      <w:r>
        <w:rPr>
          <w:rFonts w:hint="eastAsia" w:hAnsi="宋体"/>
          <w:highlight w:val="none"/>
        </w:rPr>
        <w:t xml:space="preserve"> 日</w:t>
      </w:r>
    </w:p>
    <w:p>
      <w:pPr>
        <w:pStyle w:val="4"/>
        <w:rPr>
          <w:rFonts w:hAnsi="宋体"/>
          <w:highlight w:val="none"/>
        </w:rPr>
      </w:pPr>
      <w:bookmarkStart w:id="73" w:name="_Toc111371841"/>
      <w:bookmarkStart w:id="74" w:name="_Toc24724"/>
      <w:r>
        <w:rPr>
          <w:rFonts w:hint="eastAsia" w:ascii="宋体" w:hAnsi="宋体" w:eastAsia="宋体"/>
          <w:snapToGrid w:val="0"/>
          <w:highlight w:val="none"/>
        </w:rPr>
        <w:t>二、法定代表人资格证明书</w:t>
      </w:r>
      <w:bookmarkEnd w:id="73"/>
      <w:bookmarkEnd w:id="74"/>
    </w:p>
    <w:p>
      <w:pPr>
        <w:pStyle w:val="21"/>
        <w:adjustRightInd w:val="0"/>
        <w:snapToGrid w:val="0"/>
        <w:spacing w:line="360" w:lineRule="auto"/>
        <w:ind w:firstLine="420"/>
        <w:rPr>
          <w:rFonts w:hAnsi="宋体"/>
          <w:highlight w:val="none"/>
        </w:rPr>
      </w:pPr>
      <w:r>
        <w:rPr>
          <w:rFonts w:hint="eastAsia" w:hAnsi="宋体"/>
          <w:highlight w:val="none"/>
        </w:rPr>
        <w:t>单位名称：</w:t>
      </w:r>
    </w:p>
    <w:p>
      <w:pPr>
        <w:pStyle w:val="21"/>
        <w:adjustRightInd w:val="0"/>
        <w:snapToGrid w:val="0"/>
        <w:spacing w:line="360" w:lineRule="auto"/>
        <w:ind w:firstLine="420"/>
        <w:rPr>
          <w:rFonts w:hAnsi="宋体"/>
          <w:highlight w:val="none"/>
        </w:rPr>
      </w:pPr>
      <w:r>
        <w:rPr>
          <w:rFonts w:hint="eastAsia" w:hAnsi="宋体"/>
          <w:highlight w:val="none"/>
        </w:rPr>
        <w:t>地址：</w:t>
      </w:r>
    </w:p>
    <w:p>
      <w:pPr>
        <w:pStyle w:val="21"/>
        <w:adjustRightInd w:val="0"/>
        <w:snapToGrid w:val="0"/>
        <w:spacing w:line="360" w:lineRule="auto"/>
        <w:ind w:firstLine="420"/>
        <w:rPr>
          <w:rFonts w:hAnsi="宋体"/>
          <w:highlight w:val="none"/>
        </w:rPr>
      </w:pPr>
      <w:r>
        <w:rPr>
          <w:rFonts w:hint="eastAsia" w:hAnsi="宋体"/>
          <w:highlight w:val="none"/>
        </w:rPr>
        <w:t>姓名：             性别：          年龄：          职务：</w:t>
      </w:r>
    </w:p>
    <w:p>
      <w:pPr>
        <w:pStyle w:val="21"/>
        <w:adjustRightInd w:val="0"/>
        <w:snapToGrid w:val="0"/>
        <w:spacing w:line="360" w:lineRule="auto"/>
        <w:ind w:left="316" w:leftChars="158" w:firstLine="630" w:firstLineChars="300"/>
        <w:rPr>
          <w:rFonts w:hAnsi="宋体"/>
          <w:highlight w:val="none"/>
        </w:rPr>
      </w:pPr>
      <w:r>
        <w:rPr>
          <w:rFonts w:hint="eastAsia" w:hAnsi="宋体"/>
          <w:highlight w:val="none"/>
        </w:rPr>
        <w:t>系</w:t>
      </w:r>
      <w:r>
        <w:rPr>
          <w:rFonts w:hint="eastAsia" w:hAnsi="宋体"/>
          <w:highlight w:val="none"/>
          <w:u w:val="single"/>
        </w:rPr>
        <w:t xml:space="preserve">                         </w:t>
      </w:r>
      <w:r>
        <w:rPr>
          <w:rFonts w:hint="eastAsia" w:hAnsi="宋体"/>
          <w:highlight w:val="none"/>
        </w:rPr>
        <w:t xml:space="preserve"> 的法定代表人。为施工、竣工和保修</w:t>
      </w:r>
      <w:r>
        <w:rPr>
          <w:rFonts w:hint="eastAsia" w:hAnsi="宋体"/>
          <w:highlight w:val="none"/>
          <w:u w:val="single"/>
        </w:rPr>
        <w:t xml:space="preserve">        </w:t>
      </w:r>
      <w:r>
        <w:rPr>
          <w:rFonts w:hint="eastAsia" w:hAnsi="宋体"/>
          <w:highlight w:val="none"/>
        </w:rPr>
        <w:t>的工程，签署上述工程的投标文件、进行合同谈判、签署合同和处理与之有关的一切事务。</w:t>
      </w:r>
    </w:p>
    <w:p>
      <w:pPr>
        <w:pStyle w:val="21"/>
        <w:adjustRightInd w:val="0"/>
        <w:snapToGrid w:val="0"/>
        <w:spacing w:line="360" w:lineRule="auto"/>
        <w:ind w:firstLine="420"/>
        <w:rPr>
          <w:rFonts w:hAnsi="宋体"/>
          <w:highlight w:val="none"/>
        </w:rPr>
      </w:pPr>
      <w:r>
        <w:rPr>
          <w:rFonts w:hint="eastAsia" w:hAnsi="宋体"/>
          <w:highlight w:val="none"/>
        </w:rPr>
        <w:t>特此证明。</w:t>
      </w:r>
    </w:p>
    <w:p>
      <w:pPr>
        <w:pStyle w:val="21"/>
        <w:adjustRightInd w:val="0"/>
        <w:snapToGrid w:val="0"/>
        <w:spacing w:line="300" w:lineRule="auto"/>
        <w:ind w:left="3000" w:leftChars="1500"/>
        <w:jc w:val="center"/>
        <w:rPr>
          <w:rFonts w:hAnsi="宋体"/>
          <w:highlight w:val="none"/>
        </w:rPr>
      </w:pPr>
      <w:r>
        <w:rPr>
          <w:rFonts w:hint="eastAsia" w:hAnsi="宋体"/>
          <w:highlight w:val="none"/>
        </w:rPr>
        <w:t xml:space="preserve">       投标人：(盖章)</w:t>
      </w:r>
    </w:p>
    <w:p>
      <w:pPr>
        <w:pStyle w:val="21"/>
        <w:adjustRightInd w:val="0"/>
        <w:snapToGrid w:val="0"/>
        <w:spacing w:line="300" w:lineRule="auto"/>
        <w:ind w:left="3000" w:leftChars="1500"/>
        <w:rPr>
          <w:rFonts w:hAnsi="宋体"/>
          <w:highlight w:val="none"/>
        </w:rPr>
      </w:pPr>
    </w:p>
    <w:p>
      <w:pPr>
        <w:pStyle w:val="21"/>
        <w:adjustRightInd w:val="0"/>
        <w:snapToGrid w:val="0"/>
        <w:spacing w:line="300" w:lineRule="auto"/>
        <w:ind w:left="3000" w:leftChars="1500"/>
        <w:jc w:val="center"/>
        <w:rPr>
          <w:rFonts w:hAnsi="宋体"/>
          <w:highlight w:val="none"/>
        </w:rPr>
      </w:pPr>
      <w:r>
        <w:rPr>
          <w:rFonts w:hint="eastAsia" w:hAnsi="宋体"/>
          <w:highlight w:val="none"/>
        </w:rPr>
        <w:t xml:space="preserve">                        日期：</w:t>
      </w:r>
      <w:r>
        <w:rPr>
          <w:rFonts w:hint="eastAsia" w:hAnsi="宋体"/>
          <w:highlight w:val="none"/>
          <w:u w:val="single"/>
        </w:rPr>
        <w:t xml:space="preserve">       </w:t>
      </w:r>
      <w:r>
        <w:rPr>
          <w:rFonts w:hint="eastAsia" w:hAnsi="宋体"/>
          <w:highlight w:val="none"/>
        </w:rPr>
        <w:t xml:space="preserve">年 </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 xml:space="preserve">  日</w:t>
      </w:r>
    </w:p>
    <w:p>
      <w:pPr>
        <w:pStyle w:val="21"/>
        <w:adjustRightInd w:val="0"/>
        <w:snapToGrid w:val="0"/>
        <w:spacing w:line="360" w:lineRule="auto"/>
        <w:ind w:left="315" w:leftChars="105" w:hanging="105" w:hangingChars="50"/>
        <w:rPr>
          <w:rFonts w:hAnsi="宋体"/>
          <w:highlight w:val="none"/>
        </w:rPr>
      </w:pPr>
      <w:r>
        <w:rPr>
          <w:rFonts w:hint="eastAsia" w:hAnsi="宋体"/>
          <w:highlight w:val="none"/>
        </w:rPr>
        <w:t>（注：法定代表人资格证明书亦可用工商局发的法定代表人证的复印件加盖法人单位公章或营业执照复印件加盖法人单位公章证明）</w:t>
      </w:r>
    </w:p>
    <w:p>
      <w:pPr>
        <w:pStyle w:val="21"/>
        <w:adjustRightInd w:val="0"/>
        <w:snapToGrid w:val="0"/>
        <w:spacing w:line="300" w:lineRule="auto"/>
        <w:rPr>
          <w:rFonts w:hAnsi="宋体"/>
          <w:sz w:val="24"/>
          <w:szCs w:val="24"/>
          <w:highlight w:val="none"/>
        </w:rPr>
      </w:pPr>
    </w:p>
    <w:p>
      <w:pPr>
        <w:pStyle w:val="4"/>
        <w:rPr>
          <w:rFonts w:hAnsi="宋体"/>
          <w:sz w:val="24"/>
          <w:szCs w:val="24"/>
          <w:highlight w:val="none"/>
        </w:rPr>
      </w:pPr>
      <w:bookmarkStart w:id="75" w:name="_Toc111371842"/>
      <w:bookmarkStart w:id="76" w:name="_Toc19601"/>
      <w:r>
        <w:rPr>
          <w:rFonts w:hint="eastAsia" w:ascii="宋体" w:hAnsi="宋体" w:eastAsia="宋体"/>
          <w:snapToGrid w:val="0"/>
          <w:highlight w:val="none"/>
        </w:rPr>
        <w:t>三、授权委托书</w:t>
      </w:r>
      <w:bookmarkEnd w:id="75"/>
      <w:bookmarkEnd w:id="76"/>
    </w:p>
    <w:p>
      <w:pPr>
        <w:pStyle w:val="21"/>
        <w:adjustRightInd w:val="0"/>
        <w:snapToGrid w:val="0"/>
        <w:spacing w:line="360" w:lineRule="auto"/>
        <w:ind w:firstLine="630" w:firstLineChars="300"/>
        <w:rPr>
          <w:rFonts w:hAnsi="宋体"/>
          <w:highlight w:val="none"/>
        </w:rPr>
      </w:pPr>
      <w:r>
        <w:rPr>
          <w:rFonts w:hint="eastAsia" w:hAnsi="宋体"/>
          <w:highlight w:val="none"/>
        </w:rPr>
        <w:t>本授权委托书声明：我</w:t>
      </w:r>
      <w:r>
        <w:rPr>
          <w:rFonts w:hint="eastAsia" w:hAnsi="宋体"/>
          <w:highlight w:val="none"/>
          <w:u w:val="single"/>
        </w:rPr>
        <w:t xml:space="preserve">        </w:t>
      </w:r>
      <w:r>
        <w:rPr>
          <w:rFonts w:hint="eastAsia" w:hAnsi="宋体"/>
          <w:highlight w:val="none"/>
        </w:rPr>
        <w:t xml:space="preserve"> (姓名)系</w:t>
      </w:r>
      <w:r>
        <w:rPr>
          <w:rFonts w:hint="eastAsia" w:hAnsi="宋体"/>
          <w:highlight w:val="none"/>
          <w:u w:val="single"/>
        </w:rPr>
        <w:t xml:space="preserve">    </w:t>
      </w:r>
      <w:r>
        <w:rPr>
          <w:rFonts w:hAnsi="宋体"/>
          <w:highlight w:val="none"/>
          <w:u w:val="single"/>
        </w:rPr>
        <w:t xml:space="preserve">  </w:t>
      </w:r>
      <w:r>
        <w:rPr>
          <w:rFonts w:hint="eastAsia" w:hAnsi="宋体"/>
          <w:highlight w:val="none"/>
          <w:u w:val="single"/>
        </w:rPr>
        <w:t xml:space="preserve">      </w:t>
      </w:r>
      <w:r>
        <w:rPr>
          <w:rFonts w:hint="eastAsia" w:hAnsi="宋体"/>
          <w:highlight w:val="none"/>
        </w:rPr>
        <w:t xml:space="preserve">(投标人名称)的法定代表人，现授权委托 </w:t>
      </w:r>
      <w:r>
        <w:rPr>
          <w:rFonts w:hint="eastAsia" w:hAnsi="宋体"/>
          <w:highlight w:val="none"/>
          <w:u w:val="single"/>
        </w:rPr>
        <w:t xml:space="preserve">           </w:t>
      </w:r>
      <w:r>
        <w:rPr>
          <w:rFonts w:hint="eastAsia" w:hAnsi="宋体"/>
          <w:highlight w:val="none"/>
        </w:rPr>
        <w:t>（单位名称）的</w:t>
      </w:r>
      <w:r>
        <w:rPr>
          <w:rFonts w:hint="eastAsia" w:hAnsi="宋体"/>
          <w:highlight w:val="none"/>
          <w:u w:val="single"/>
        </w:rPr>
        <w:t xml:space="preserve">        </w:t>
      </w:r>
      <w:r>
        <w:rPr>
          <w:rFonts w:hint="eastAsia" w:hAnsi="宋体"/>
          <w:highlight w:val="none"/>
        </w:rPr>
        <w:t>(姓名)为我公司代理人，以本公司的名义参加</w:t>
      </w:r>
      <w:r>
        <w:rPr>
          <w:rFonts w:hint="eastAsia" w:hAnsi="宋体"/>
          <w:highlight w:val="none"/>
          <w:u w:val="single"/>
        </w:rPr>
        <w:t xml:space="preserve">       </w:t>
      </w:r>
      <w:r>
        <w:rPr>
          <w:rFonts w:hint="eastAsia" w:hAnsi="宋体"/>
          <w:highlight w:val="none"/>
        </w:rPr>
        <w:t>(招标人)的</w:t>
      </w:r>
      <w:r>
        <w:rPr>
          <w:rFonts w:hint="eastAsia" w:hAnsi="宋体"/>
          <w:highlight w:val="none"/>
          <w:u w:val="single"/>
        </w:rPr>
        <w:t xml:space="preserve">               </w:t>
      </w:r>
      <w:r>
        <w:rPr>
          <w:rFonts w:hint="eastAsia" w:hAnsi="宋体"/>
          <w:highlight w:val="none"/>
        </w:rPr>
        <w:t>工程的投标活动。代理人在开标、评标、合同谈判过程中所签署的一切文件和处理与之有关的一切事务，我均予以承认。</w:t>
      </w:r>
    </w:p>
    <w:p>
      <w:pPr>
        <w:pStyle w:val="21"/>
        <w:adjustRightInd w:val="0"/>
        <w:snapToGrid w:val="0"/>
        <w:spacing w:line="360" w:lineRule="auto"/>
        <w:rPr>
          <w:rFonts w:hAnsi="宋体"/>
          <w:highlight w:val="none"/>
        </w:rPr>
      </w:pPr>
    </w:p>
    <w:p>
      <w:pPr>
        <w:pStyle w:val="21"/>
        <w:adjustRightInd w:val="0"/>
        <w:snapToGrid w:val="0"/>
        <w:spacing w:line="360" w:lineRule="auto"/>
        <w:ind w:left="420" w:leftChars="210"/>
        <w:rPr>
          <w:rFonts w:hAnsi="宋体"/>
          <w:highlight w:val="none"/>
        </w:rPr>
      </w:pPr>
      <w:r>
        <w:rPr>
          <w:rFonts w:hint="eastAsia" w:hAnsi="宋体"/>
          <w:highlight w:val="none"/>
        </w:rPr>
        <w:t>代理人无转委权。特此委托。</w:t>
      </w:r>
      <w:r>
        <w:rPr>
          <w:rFonts w:hint="eastAsia" w:hAnsi="宋体"/>
          <w:highlight w:val="none"/>
        </w:rPr>
        <w:cr/>
      </w:r>
      <w:r>
        <w:rPr>
          <w:rFonts w:hint="eastAsia" w:hAnsi="宋体"/>
          <w:highlight w:val="none"/>
        </w:rPr>
        <w:t>代理人：          性 别：                 年 龄：</w:t>
      </w:r>
    </w:p>
    <w:p>
      <w:pPr>
        <w:pStyle w:val="21"/>
        <w:adjustRightInd w:val="0"/>
        <w:snapToGrid w:val="0"/>
        <w:spacing w:line="360" w:lineRule="auto"/>
        <w:ind w:firstLine="420"/>
        <w:rPr>
          <w:rFonts w:hAnsi="宋体"/>
          <w:highlight w:val="none"/>
        </w:rPr>
      </w:pPr>
      <w:r>
        <w:rPr>
          <w:rFonts w:hint="eastAsia" w:hAnsi="宋体"/>
          <w:highlight w:val="none"/>
        </w:rPr>
        <w:t>单  位：          部 门：                 职 务：</w:t>
      </w:r>
    </w:p>
    <w:p>
      <w:pPr>
        <w:pStyle w:val="21"/>
        <w:adjustRightInd w:val="0"/>
        <w:snapToGrid w:val="0"/>
        <w:spacing w:line="360" w:lineRule="auto"/>
        <w:ind w:firstLine="420"/>
        <w:rPr>
          <w:rFonts w:hAnsi="宋体"/>
          <w:highlight w:val="none"/>
        </w:rPr>
      </w:pPr>
      <w:r>
        <w:rPr>
          <w:rFonts w:hint="eastAsia" w:hAnsi="宋体"/>
          <w:highlight w:val="none"/>
        </w:rPr>
        <w:t>投标人：(盖章)</w:t>
      </w:r>
    </w:p>
    <w:p>
      <w:pPr>
        <w:pStyle w:val="21"/>
        <w:adjustRightInd w:val="0"/>
        <w:snapToGrid w:val="0"/>
        <w:spacing w:line="360" w:lineRule="auto"/>
        <w:ind w:firstLine="420"/>
        <w:rPr>
          <w:rFonts w:hAnsi="宋体"/>
          <w:highlight w:val="none"/>
        </w:rPr>
      </w:pPr>
      <w:r>
        <w:rPr>
          <w:rFonts w:hint="eastAsia" w:hAnsi="宋体"/>
          <w:highlight w:val="none"/>
        </w:rPr>
        <w:t>法定代表人：(签字或盖章)</w:t>
      </w:r>
    </w:p>
    <w:p>
      <w:pPr>
        <w:pStyle w:val="21"/>
        <w:adjustRightInd w:val="0"/>
        <w:snapToGrid w:val="0"/>
        <w:spacing w:line="300" w:lineRule="auto"/>
        <w:jc w:val="right"/>
        <w:rPr>
          <w:rFonts w:hAnsi="宋体"/>
          <w:highlight w:val="none"/>
        </w:rPr>
      </w:pPr>
      <w:r>
        <w:rPr>
          <w:rFonts w:hint="eastAsia" w:hAnsi="宋体"/>
          <w:highlight w:val="none"/>
        </w:rPr>
        <w:t>日期：     年     月    日</w:t>
      </w:r>
    </w:p>
    <w:p>
      <w:pPr>
        <w:pStyle w:val="4"/>
        <w:rPr>
          <w:rFonts w:ascii="宋体" w:hAnsi="宋体" w:eastAsia="宋体"/>
          <w:snapToGrid w:val="0"/>
          <w:highlight w:val="none"/>
        </w:rPr>
      </w:pPr>
      <w:bookmarkStart w:id="77" w:name="_Toc337"/>
      <w:r>
        <w:rPr>
          <w:rFonts w:hint="eastAsia" w:ascii="宋体" w:hAnsi="宋体" w:eastAsia="宋体"/>
          <w:snapToGrid w:val="0"/>
          <w:highlight w:val="none"/>
        </w:rPr>
        <w:t>四、投标报价</w:t>
      </w:r>
      <w:bookmarkEnd w:id="77"/>
    </w:p>
    <w:p>
      <w:pPr>
        <w:pStyle w:val="21"/>
        <w:spacing w:line="360" w:lineRule="auto"/>
        <w:jc w:val="left"/>
        <w:rPr>
          <w:rFonts w:ascii="Times New Roman" w:hAnsi="Times New Roman"/>
          <w:sz w:val="24"/>
          <w:highlight w:val="none"/>
        </w:rPr>
      </w:pPr>
      <w:bookmarkStart w:id="78" w:name="_Toc111371844"/>
      <w:r>
        <w:rPr>
          <w:rFonts w:hint="eastAsia" w:ascii="Times New Roman" w:hAnsi="Times New Roman"/>
          <w:sz w:val="24"/>
          <w:highlight w:val="none"/>
        </w:rPr>
        <w:t>按2013计价规范及江苏省相关规定要求提供</w:t>
      </w:r>
    </w:p>
    <w:p>
      <w:pPr>
        <w:rPr>
          <w:rFonts w:ascii="宋体" w:hAnsi="宋体" w:eastAsia="宋体"/>
          <w:b/>
          <w:snapToGrid w:val="0"/>
          <w:kern w:val="2"/>
          <w:sz w:val="32"/>
          <w:highlight w:val="none"/>
        </w:rPr>
      </w:pPr>
    </w:p>
    <w:p>
      <w:pPr>
        <w:pStyle w:val="4"/>
        <w:rPr>
          <w:rFonts w:ascii="宋体" w:hAnsi="宋体" w:eastAsia="宋体"/>
          <w:snapToGrid w:val="0"/>
          <w:highlight w:val="none"/>
        </w:rPr>
      </w:pPr>
      <w:bookmarkStart w:id="79" w:name="_Toc6040"/>
      <w:r>
        <w:rPr>
          <w:rFonts w:hint="eastAsia" w:ascii="宋体" w:hAnsi="宋体" w:eastAsia="宋体"/>
          <w:snapToGrid w:val="0"/>
          <w:highlight w:val="none"/>
        </w:rPr>
        <w:t>五、辅助资料表</w:t>
      </w:r>
      <w:bookmarkEnd w:id="78"/>
      <w:bookmarkEnd w:id="79"/>
    </w:p>
    <w:p>
      <w:pPr>
        <w:jc w:val="center"/>
        <w:rPr>
          <w:sz w:val="32"/>
          <w:szCs w:val="32"/>
          <w:highlight w:val="none"/>
        </w:rPr>
      </w:pPr>
      <w:r>
        <w:rPr>
          <w:rFonts w:hint="eastAsia"/>
          <w:sz w:val="32"/>
          <w:szCs w:val="32"/>
          <w:highlight w:val="none"/>
        </w:rPr>
        <w:t>表5.1   承包人自行采购主要材料清单</w:t>
      </w:r>
    </w:p>
    <w:p>
      <w:pPr>
        <w:rPr>
          <w:rFonts w:ascii="宋体" w:hAnsi="宋体"/>
          <w:sz w:val="24"/>
          <w:szCs w:val="24"/>
          <w:highlight w:val="none"/>
        </w:rPr>
      </w:pPr>
    </w:p>
    <w:tbl>
      <w:tblPr>
        <w:tblStyle w:val="40"/>
        <w:tblW w:w="990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417"/>
        <w:gridCol w:w="1134"/>
        <w:gridCol w:w="1701"/>
        <w:gridCol w:w="1134"/>
        <w:gridCol w:w="1276"/>
        <w:gridCol w:w="85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序号</w:t>
            </w:r>
          </w:p>
        </w:tc>
        <w:tc>
          <w:tcPr>
            <w:tcW w:w="1417"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材料名称</w:t>
            </w:r>
          </w:p>
        </w:tc>
        <w:tc>
          <w:tcPr>
            <w:tcW w:w="1134"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规格</w:t>
            </w:r>
          </w:p>
        </w:tc>
        <w:tc>
          <w:tcPr>
            <w:tcW w:w="1701"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品牌</w:t>
            </w:r>
          </w:p>
        </w:tc>
        <w:tc>
          <w:tcPr>
            <w:tcW w:w="1134"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单位</w:t>
            </w:r>
          </w:p>
        </w:tc>
        <w:tc>
          <w:tcPr>
            <w:tcW w:w="1276"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数量</w:t>
            </w:r>
          </w:p>
        </w:tc>
        <w:tc>
          <w:tcPr>
            <w:tcW w:w="851"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单价</w:t>
            </w:r>
          </w:p>
        </w:tc>
        <w:tc>
          <w:tcPr>
            <w:tcW w:w="1336" w:type="dxa"/>
            <w:vAlign w:val="center"/>
          </w:tcPr>
          <w:p>
            <w:pPr>
              <w:widowControl w:val="0"/>
              <w:adjustRightInd w:val="0"/>
              <w:snapToGrid w:val="0"/>
              <w:spacing w:line="300" w:lineRule="auto"/>
              <w:jc w:val="center"/>
              <w:rPr>
                <w:rFonts w:ascii="宋体" w:hAnsi="宋体"/>
                <w:kern w:val="2"/>
                <w:sz w:val="21"/>
                <w:highlight w:val="none"/>
              </w:rPr>
            </w:pPr>
            <w:r>
              <w:rPr>
                <w:rFonts w:hint="eastAsia" w:ascii="宋体" w:hAnsi="宋体"/>
                <w:kern w:val="2"/>
                <w:sz w:val="21"/>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vAlign w:val="center"/>
          </w:tcPr>
          <w:p>
            <w:pPr>
              <w:widowControl w:val="0"/>
              <w:adjustRightInd w:val="0"/>
              <w:snapToGrid w:val="0"/>
              <w:spacing w:line="300" w:lineRule="auto"/>
              <w:jc w:val="center"/>
              <w:rPr>
                <w:rFonts w:ascii="宋体" w:hAnsi="宋体"/>
                <w:kern w:val="2"/>
                <w:sz w:val="21"/>
                <w:highlight w:val="none"/>
              </w:rPr>
            </w:pPr>
          </w:p>
        </w:tc>
        <w:tc>
          <w:tcPr>
            <w:tcW w:w="1417"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701" w:type="dxa"/>
            <w:vAlign w:val="center"/>
          </w:tcPr>
          <w:p>
            <w:pPr>
              <w:widowControl w:val="0"/>
              <w:adjustRightInd w:val="0"/>
              <w:snapToGrid w:val="0"/>
              <w:spacing w:line="300" w:lineRule="auto"/>
              <w:jc w:val="center"/>
              <w:rPr>
                <w:rFonts w:ascii="宋体" w:hAnsi="宋体"/>
                <w:kern w:val="2"/>
                <w:sz w:val="21"/>
                <w:highlight w:val="none"/>
              </w:rPr>
            </w:pPr>
          </w:p>
        </w:tc>
        <w:tc>
          <w:tcPr>
            <w:tcW w:w="1134" w:type="dxa"/>
            <w:vAlign w:val="center"/>
          </w:tcPr>
          <w:p>
            <w:pPr>
              <w:widowControl w:val="0"/>
              <w:adjustRightInd w:val="0"/>
              <w:snapToGrid w:val="0"/>
              <w:spacing w:line="300" w:lineRule="auto"/>
              <w:jc w:val="center"/>
              <w:rPr>
                <w:rFonts w:ascii="宋体" w:hAnsi="宋体"/>
                <w:kern w:val="2"/>
                <w:sz w:val="21"/>
                <w:highlight w:val="none"/>
              </w:rPr>
            </w:pPr>
          </w:p>
        </w:tc>
        <w:tc>
          <w:tcPr>
            <w:tcW w:w="1276" w:type="dxa"/>
            <w:vAlign w:val="center"/>
          </w:tcPr>
          <w:p>
            <w:pPr>
              <w:widowControl w:val="0"/>
              <w:adjustRightInd w:val="0"/>
              <w:snapToGrid w:val="0"/>
              <w:spacing w:line="300" w:lineRule="auto"/>
              <w:jc w:val="center"/>
              <w:rPr>
                <w:rFonts w:ascii="宋体" w:hAnsi="宋体"/>
                <w:kern w:val="2"/>
                <w:sz w:val="21"/>
                <w:highlight w:val="none"/>
              </w:rPr>
            </w:pPr>
          </w:p>
        </w:tc>
        <w:tc>
          <w:tcPr>
            <w:tcW w:w="851" w:type="dxa"/>
            <w:vAlign w:val="center"/>
          </w:tcPr>
          <w:p>
            <w:pPr>
              <w:widowControl w:val="0"/>
              <w:adjustRightInd w:val="0"/>
              <w:snapToGrid w:val="0"/>
              <w:spacing w:line="300" w:lineRule="auto"/>
              <w:jc w:val="center"/>
              <w:rPr>
                <w:rFonts w:ascii="宋体" w:hAnsi="宋体"/>
                <w:kern w:val="2"/>
                <w:sz w:val="21"/>
                <w:highlight w:val="none"/>
              </w:rPr>
            </w:pPr>
          </w:p>
        </w:tc>
        <w:tc>
          <w:tcPr>
            <w:tcW w:w="1336" w:type="dxa"/>
            <w:vAlign w:val="center"/>
          </w:tcPr>
          <w:p>
            <w:pPr>
              <w:widowControl w:val="0"/>
              <w:adjustRightInd w:val="0"/>
              <w:snapToGrid w:val="0"/>
              <w:spacing w:line="300" w:lineRule="auto"/>
              <w:jc w:val="center"/>
              <w:rPr>
                <w:rFonts w:ascii="宋体" w:hAnsi="宋体"/>
                <w:kern w:val="2"/>
                <w:sz w:val="21"/>
                <w:highlight w:val="none"/>
              </w:rPr>
            </w:pPr>
          </w:p>
        </w:tc>
      </w:tr>
    </w:tbl>
    <w:p>
      <w:pPr>
        <w:rPr>
          <w:rFonts w:ascii="宋体" w:hAnsi="宋体"/>
          <w:sz w:val="24"/>
          <w:szCs w:val="24"/>
          <w:highlight w:val="none"/>
        </w:rPr>
      </w:pPr>
      <w:r>
        <w:rPr>
          <w:rFonts w:hint="eastAsia" w:ascii="Times New Roman" w:hAnsi="Times New Roman" w:eastAsia="黑体"/>
          <w:sz w:val="24"/>
          <w:szCs w:val="24"/>
          <w:highlight w:val="none"/>
        </w:rPr>
        <w:t>注：未按要求填写可视为废标</w:t>
      </w:r>
    </w:p>
    <w:p>
      <w:pPr>
        <w:jc w:val="center"/>
        <w:rPr>
          <w:sz w:val="32"/>
          <w:szCs w:val="32"/>
          <w:highlight w:val="none"/>
        </w:rPr>
      </w:pPr>
    </w:p>
    <w:p>
      <w:pPr>
        <w:jc w:val="center"/>
        <w:rPr>
          <w:sz w:val="32"/>
          <w:szCs w:val="32"/>
          <w:highlight w:val="none"/>
        </w:rPr>
      </w:pPr>
    </w:p>
    <w:p>
      <w:pPr>
        <w:jc w:val="center"/>
        <w:rPr>
          <w:sz w:val="32"/>
          <w:szCs w:val="32"/>
          <w:highlight w:val="none"/>
        </w:rPr>
      </w:pPr>
      <w:r>
        <w:rPr>
          <w:rFonts w:hint="eastAsia"/>
          <w:sz w:val="32"/>
          <w:szCs w:val="32"/>
          <w:highlight w:val="none"/>
        </w:rPr>
        <w:t>表5.2   项目负责人简历及企业业绩表</w:t>
      </w:r>
    </w:p>
    <w:p>
      <w:pPr>
        <w:rPr>
          <w:rFonts w:ascii="宋体" w:hAnsi="宋体"/>
          <w:sz w:val="24"/>
          <w:szCs w:val="24"/>
          <w:highlight w:val="none"/>
        </w:rPr>
      </w:pPr>
    </w:p>
    <w:tbl>
      <w:tblPr>
        <w:tblStyle w:val="40"/>
        <w:tblW w:w="990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635"/>
        <w:gridCol w:w="381"/>
        <w:gridCol w:w="562"/>
        <w:gridCol w:w="572"/>
        <w:gridCol w:w="649"/>
        <w:gridCol w:w="258"/>
        <w:gridCol w:w="794"/>
        <w:gridCol w:w="529"/>
        <w:gridCol w:w="605"/>
        <w:gridCol w:w="437"/>
        <w:gridCol w:w="589"/>
        <w:gridCol w:w="250"/>
        <w:gridCol w:w="85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pStyle w:val="21"/>
              <w:adjustRightInd w:val="0"/>
              <w:snapToGrid w:val="0"/>
              <w:spacing w:line="300" w:lineRule="auto"/>
              <w:jc w:val="center"/>
              <w:rPr>
                <w:rFonts w:hAnsi="宋体"/>
                <w:highlight w:val="none"/>
              </w:rPr>
            </w:pPr>
            <w:r>
              <w:rPr>
                <w:rFonts w:hint="eastAsia" w:hAnsi="宋体"/>
                <w:highlight w:val="none"/>
              </w:rPr>
              <w:t>姓名</w:t>
            </w:r>
          </w:p>
        </w:tc>
        <w:tc>
          <w:tcPr>
            <w:tcW w:w="1578" w:type="dxa"/>
            <w:gridSpan w:val="3"/>
            <w:vAlign w:val="center"/>
          </w:tcPr>
          <w:p>
            <w:pPr>
              <w:pStyle w:val="21"/>
              <w:adjustRightInd w:val="0"/>
              <w:snapToGrid w:val="0"/>
              <w:spacing w:line="300" w:lineRule="auto"/>
              <w:jc w:val="center"/>
              <w:rPr>
                <w:rFonts w:hAnsi="宋体"/>
                <w:highlight w:val="none"/>
              </w:rPr>
            </w:pPr>
          </w:p>
        </w:tc>
        <w:tc>
          <w:tcPr>
            <w:tcW w:w="1479"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性别</w:t>
            </w:r>
          </w:p>
        </w:tc>
        <w:tc>
          <w:tcPr>
            <w:tcW w:w="1323" w:type="dxa"/>
            <w:gridSpan w:val="2"/>
            <w:vAlign w:val="center"/>
          </w:tcPr>
          <w:p>
            <w:pPr>
              <w:pStyle w:val="21"/>
              <w:adjustRightInd w:val="0"/>
              <w:snapToGrid w:val="0"/>
              <w:spacing w:line="300" w:lineRule="auto"/>
              <w:jc w:val="center"/>
              <w:rPr>
                <w:rFonts w:hAnsi="宋体"/>
                <w:highlight w:val="none"/>
              </w:rPr>
            </w:pPr>
          </w:p>
        </w:tc>
        <w:tc>
          <w:tcPr>
            <w:tcW w:w="1631"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年龄</w:t>
            </w:r>
          </w:p>
        </w:tc>
        <w:tc>
          <w:tcPr>
            <w:tcW w:w="2437" w:type="dxa"/>
            <w:gridSpan w:val="3"/>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pStyle w:val="21"/>
              <w:adjustRightInd w:val="0"/>
              <w:snapToGrid w:val="0"/>
              <w:spacing w:line="300" w:lineRule="auto"/>
              <w:jc w:val="center"/>
              <w:rPr>
                <w:rFonts w:hAnsi="宋体"/>
                <w:highlight w:val="none"/>
              </w:rPr>
            </w:pPr>
            <w:r>
              <w:rPr>
                <w:rFonts w:hint="eastAsia" w:hAnsi="宋体"/>
                <w:highlight w:val="none"/>
              </w:rPr>
              <w:t>职务</w:t>
            </w:r>
          </w:p>
        </w:tc>
        <w:tc>
          <w:tcPr>
            <w:tcW w:w="1578" w:type="dxa"/>
            <w:gridSpan w:val="3"/>
            <w:vAlign w:val="center"/>
          </w:tcPr>
          <w:p>
            <w:pPr>
              <w:pStyle w:val="21"/>
              <w:adjustRightInd w:val="0"/>
              <w:snapToGrid w:val="0"/>
              <w:spacing w:line="300" w:lineRule="auto"/>
              <w:jc w:val="center"/>
              <w:rPr>
                <w:rFonts w:hAnsi="宋体"/>
                <w:highlight w:val="none"/>
              </w:rPr>
            </w:pPr>
          </w:p>
        </w:tc>
        <w:tc>
          <w:tcPr>
            <w:tcW w:w="1479"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职称</w:t>
            </w:r>
          </w:p>
        </w:tc>
        <w:tc>
          <w:tcPr>
            <w:tcW w:w="1323" w:type="dxa"/>
            <w:gridSpan w:val="2"/>
            <w:vAlign w:val="center"/>
          </w:tcPr>
          <w:p>
            <w:pPr>
              <w:pStyle w:val="21"/>
              <w:adjustRightInd w:val="0"/>
              <w:snapToGrid w:val="0"/>
              <w:spacing w:line="300" w:lineRule="auto"/>
              <w:jc w:val="center"/>
              <w:rPr>
                <w:rFonts w:hAnsi="宋体"/>
                <w:highlight w:val="none"/>
              </w:rPr>
            </w:pPr>
          </w:p>
        </w:tc>
        <w:tc>
          <w:tcPr>
            <w:tcW w:w="1631"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学历</w:t>
            </w:r>
          </w:p>
        </w:tc>
        <w:tc>
          <w:tcPr>
            <w:tcW w:w="2437" w:type="dxa"/>
            <w:gridSpan w:val="3"/>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gridSpan w:val="2"/>
            <w:vAlign w:val="center"/>
          </w:tcPr>
          <w:p>
            <w:pPr>
              <w:pStyle w:val="21"/>
              <w:adjustRightInd w:val="0"/>
              <w:snapToGrid w:val="0"/>
              <w:spacing w:line="300" w:lineRule="auto"/>
              <w:jc w:val="center"/>
              <w:rPr>
                <w:rFonts w:hAnsi="宋体"/>
                <w:highlight w:val="none"/>
              </w:rPr>
            </w:pPr>
            <w:r>
              <w:rPr>
                <w:rFonts w:hint="eastAsia" w:hAnsi="宋体"/>
                <w:highlight w:val="none"/>
              </w:rPr>
              <w:t>参加工作时间</w:t>
            </w:r>
          </w:p>
        </w:tc>
        <w:tc>
          <w:tcPr>
            <w:tcW w:w="2164" w:type="dxa"/>
            <w:gridSpan w:val="4"/>
            <w:vAlign w:val="center"/>
          </w:tcPr>
          <w:p>
            <w:pPr>
              <w:pStyle w:val="21"/>
              <w:adjustRightInd w:val="0"/>
              <w:snapToGrid w:val="0"/>
              <w:spacing w:line="300" w:lineRule="auto"/>
              <w:jc w:val="center"/>
              <w:rPr>
                <w:rFonts w:hAnsi="宋体"/>
                <w:highlight w:val="none"/>
              </w:rPr>
            </w:pPr>
          </w:p>
        </w:tc>
        <w:tc>
          <w:tcPr>
            <w:tcW w:w="2623" w:type="dxa"/>
            <w:gridSpan w:val="5"/>
            <w:vAlign w:val="center"/>
          </w:tcPr>
          <w:p>
            <w:pPr>
              <w:pStyle w:val="21"/>
              <w:adjustRightInd w:val="0"/>
              <w:snapToGrid w:val="0"/>
              <w:spacing w:line="300" w:lineRule="auto"/>
              <w:jc w:val="center"/>
              <w:rPr>
                <w:rFonts w:hAnsi="宋体"/>
                <w:highlight w:val="none"/>
              </w:rPr>
            </w:pPr>
            <w:r>
              <w:rPr>
                <w:rFonts w:hint="eastAsia" w:hAnsi="宋体"/>
                <w:highlight w:val="none"/>
              </w:rPr>
              <w:t>从事项目经理年限</w:t>
            </w:r>
          </w:p>
        </w:tc>
        <w:tc>
          <w:tcPr>
            <w:tcW w:w="3026" w:type="dxa"/>
            <w:gridSpan w:val="4"/>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00" w:type="dxa"/>
            <w:gridSpan w:val="15"/>
            <w:vAlign w:val="center"/>
          </w:tcPr>
          <w:p>
            <w:pPr>
              <w:pStyle w:val="21"/>
              <w:adjustRightInd w:val="0"/>
              <w:snapToGrid w:val="0"/>
              <w:spacing w:line="300" w:lineRule="auto"/>
              <w:jc w:val="center"/>
              <w:rPr>
                <w:rFonts w:hAnsi="宋体"/>
                <w:highlight w:val="none"/>
              </w:rPr>
            </w:pPr>
            <w:r>
              <w:rPr>
                <w:rFonts w:hint="eastAsia" w:hAnsi="宋体"/>
                <w:highlight w:val="none"/>
              </w:rPr>
              <w:t>企业业绩（主要针对业绩评分内容填写）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68"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项目名称</w:t>
            </w:r>
          </w:p>
        </w:tc>
        <w:tc>
          <w:tcPr>
            <w:tcW w:w="1134" w:type="dxa"/>
            <w:gridSpan w:val="2"/>
            <w:vAlign w:val="center"/>
          </w:tcPr>
          <w:p>
            <w:pPr>
              <w:pStyle w:val="21"/>
              <w:adjustRightInd w:val="0"/>
              <w:snapToGrid w:val="0"/>
              <w:spacing w:line="300" w:lineRule="auto"/>
              <w:jc w:val="center"/>
              <w:rPr>
                <w:rFonts w:hAnsi="宋体"/>
                <w:highlight w:val="none"/>
              </w:rPr>
            </w:pPr>
            <w:r>
              <w:rPr>
                <w:rFonts w:hint="eastAsia" w:hAnsi="宋体"/>
                <w:highlight w:val="none"/>
              </w:rPr>
              <w:t>建设规模</w:t>
            </w:r>
          </w:p>
        </w:tc>
        <w:tc>
          <w:tcPr>
            <w:tcW w:w="1701"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开、竣工程日期</w:t>
            </w:r>
          </w:p>
        </w:tc>
        <w:tc>
          <w:tcPr>
            <w:tcW w:w="1134" w:type="dxa"/>
            <w:gridSpan w:val="2"/>
            <w:vAlign w:val="center"/>
          </w:tcPr>
          <w:p>
            <w:pPr>
              <w:pStyle w:val="21"/>
              <w:adjustRightInd w:val="0"/>
              <w:snapToGrid w:val="0"/>
              <w:spacing w:line="300" w:lineRule="auto"/>
              <w:jc w:val="center"/>
              <w:rPr>
                <w:rFonts w:hAnsi="宋体"/>
                <w:highlight w:val="none"/>
              </w:rPr>
            </w:pPr>
            <w:r>
              <w:rPr>
                <w:rFonts w:hint="eastAsia" w:hAnsi="宋体"/>
                <w:highlight w:val="none"/>
              </w:rPr>
              <w:t>结构类型</w:t>
            </w:r>
          </w:p>
        </w:tc>
        <w:tc>
          <w:tcPr>
            <w:tcW w:w="1276" w:type="dxa"/>
            <w:gridSpan w:val="3"/>
            <w:vAlign w:val="center"/>
          </w:tcPr>
          <w:p>
            <w:pPr>
              <w:pStyle w:val="21"/>
              <w:adjustRightInd w:val="0"/>
              <w:snapToGrid w:val="0"/>
              <w:spacing w:line="300" w:lineRule="auto"/>
              <w:jc w:val="center"/>
              <w:rPr>
                <w:rFonts w:hAnsi="宋体"/>
                <w:highlight w:val="none"/>
              </w:rPr>
            </w:pPr>
            <w:r>
              <w:rPr>
                <w:rFonts w:hint="eastAsia" w:hAnsi="宋体"/>
                <w:highlight w:val="none"/>
              </w:rPr>
              <w:t>层数及高度</w:t>
            </w:r>
          </w:p>
        </w:tc>
        <w:tc>
          <w:tcPr>
            <w:tcW w:w="851" w:type="dxa"/>
            <w:vAlign w:val="center"/>
          </w:tcPr>
          <w:p>
            <w:pPr>
              <w:pStyle w:val="21"/>
              <w:adjustRightInd w:val="0"/>
              <w:snapToGrid w:val="0"/>
              <w:spacing w:line="300" w:lineRule="auto"/>
              <w:jc w:val="center"/>
              <w:rPr>
                <w:rFonts w:hAnsi="宋体"/>
                <w:highlight w:val="none"/>
              </w:rPr>
            </w:pPr>
            <w:r>
              <w:rPr>
                <w:rFonts w:hint="eastAsia" w:hAnsi="宋体"/>
                <w:highlight w:val="none"/>
              </w:rPr>
              <w:t>中标价</w:t>
            </w:r>
          </w:p>
        </w:tc>
        <w:tc>
          <w:tcPr>
            <w:tcW w:w="1336" w:type="dxa"/>
            <w:vAlign w:val="center"/>
          </w:tcPr>
          <w:p>
            <w:pPr>
              <w:pStyle w:val="21"/>
              <w:adjustRightInd w:val="0"/>
              <w:snapToGrid w:val="0"/>
              <w:spacing w:line="300" w:lineRule="auto"/>
              <w:jc w:val="center"/>
              <w:rPr>
                <w:rFonts w:hAnsi="宋体"/>
                <w:highlight w:val="none"/>
              </w:rPr>
            </w:pPr>
            <w:r>
              <w:rPr>
                <w:rFonts w:hint="eastAsia" w:hAnsi="宋体"/>
                <w:highlight w:val="none"/>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468"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701" w:type="dxa"/>
            <w:gridSpan w:val="3"/>
            <w:vAlign w:val="center"/>
          </w:tcPr>
          <w:p>
            <w:pPr>
              <w:pStyle w:val="21"/>
              <w:adjustRightInd w:val="0"/>
              <w:snapToGrid w:val="0"/>
              <w:spacing w:line="300" w:lineRule="auto"/>
              <w:jc w:val="center"/>
              <w:rPr>
                <w:rFonts w:hAnsi="宋体"/>
                <w:highlight w:val="none"/>
              </w:rPr>
            </w:pPr>
          </w:p>
        </w:tc>
        <w:tc>
          <w:tcPr>
            <w:tcW w:w="1134" w:type="dxa"/>
            <w:gridSpan w:val="2"/>
            <w:vAlign w:val="center"/>
          </w:tcPr>
          <w:p>
            <w:pPr>
              <w:pStyle w:val="21"/>
              <w:adjustRightInd w:val="0"/>
              <w:snapToGrid w:val="0"/>
              <w:spacing w:line="300" w:lineRule="auto"/>
              <w:jc w:val="center"/>
              <w:rPr>
                <w:rFonts w:hAnsi="宋体"/>
                <w:highlight w:val="none"/>
              </w:rPr>
            </w:pPr>
          </w:p>
        </w:tc>
        <w:tc>
          <w:tcPr>
            <w:tcW w:w="1276" w:type="dxa"/>
            <w:gridSpan w:val="3"/>
            <w:vAlign w:val="center"/>
          </w:tcPr>
          <w:p>
            <w:pPr>
              <w:pStyle w:val="21"/>
              <w:adjustRightInd w:val="0"/>
              <w:snapToGrid w:val="0"/>
              <w:spacing w:line="300" w:lineRule="auto"/>
              <w:jc w:val="center"/>
              <w:rPr>
                <w:rFonts w:hAnsi="宋体"/>
                <w:highlight w:val="none"/>
              </w:rPr>
            </w:pPr>
          </w:p>
        </w:tc>
        <w:tc>
          <w:tcPr>
            <w:tcW w:w="851" w:type="dxa"/>
            <w:vAlign w:val="center"/>
          </w:tcPr>
          <w:p>
            <w:pPr>
              <w:pStyle w:val="21"/>
              <w:adjustRightInd w:val="0"/>
              <w:snapToGrid w:val="0"/>
              <w:spacing w:line="300" w:lineRule="auto"/>
              <w:jc w:val="center"/>
              <w:rPr>
                <w:rFonts w:hAnsi="宋体"/>
                <w:highlight w:val="none"/>
              </w:rPr>
            </w:pPr>
          </w:p>
        </w:tc>
        <w:tc>
          <w:tcPr>
            <w:tcW w:w="1336" w:type="dxa"/>
            <w:vAlign w:val="center"/>
          </w:tcPr>
          <w:p>
            <w:pPr>
              <w:pStyle w:val="21"/>
              <w:adjustRightInd w:val="0"/>
              <w:snapToGrid w:val="0"/>
              <w:spacing w:line="300" w:lineRule="auto"/>
              <w:jc w:val="center"/>
              <w:rPr>
                <w:rFonts w:hAnsi="宋体"/>
                <w:highlight w:val="none"/>
              </w:rPr>
            </w:pPr>
          </w:p>
        </w:tc>
      </w:tr>
    </w:tbl>
    <w:p>
      <w:pPr>
        <w:rPr>
          <w:sz w:val="32"/>
          <w:szCs w:val="32"/>
          <w:highlight w:val="none"/>
        </w:rPr>
      </w:pPr>
      <w:bookmarkStart w:id="80" w:name="_Toc111371851"/>
      <w:r>
        <w:rPr>
          <w:sz w:val="32"/>
          <w:szCs w:val="32"/>
          <w:highlight w:val="none"/>
        </w:rPr>
        <w:br w:type="page"/>
      </w:r>
    </w:p>
    <w:p>
      <w:pPr>
        <w:jc w:val="center"/>
        <w:rPr>
          <w:sz w:val="32"/>
          <w:szCs w:val="32"/>
          <w:highlight w:val="none"/>
        </w:rPr>
      </w:pPr>
      <w:r>
        <w:rPr>
          <w:rFonts w:hint="eastAsia"/>
          <w:sz w:val="32"/>
          <w:szCs w:val="32"/>
          <w:highlight w:val="none"/>
        </w:rPr>
        <w:t>表5.3  施工方案或施工组织设计</w:t>
      </w:r>
      <w:bookmarkEnd w:id="80"/>
    </w:p>
    <w:p>
      <w:pPr>
        <w:pStyle w:val="21"/>
        <w:adjustRightInd w:val="0"/>
        <w:snapToGrid w:val="0"/>
        <w:spacing w:line="300" w:lineRule="auto"/>
        <w:rPr>
          <w:rFonts w:hAnsi="宋体"/>
          <w:sz w:val="24"/>
          <w:szCs w:val="24"/>
          <w:highlight w:val="none"/>
        </w:rPr>
      </w:pPr>
    </w:p>
    <w:p>
      <w:pPr>
        <w:pStyle w:val="21"/>
        <w:adjustRightInd w:val="0"/>
        <w:snapToGrid w:val="0"/>
        <w:spacing w:line="300" w:lineRule="auto"/>
        <w:ind w:firstLine="420"/>
        <w:rPr>
          <w:rFonts w:hAnsi="宋体"/>
          <w:highlight w:val="none"/>
        </w:rPr>
      </w:pPr>
      <w:r>
        <w:rPr>
          <w:rFonts w:hint="eastAsia" w:hAnsi="宋体"/>
          <w:highlight w:val="none"/>
        </w:rPr>
        <w:t>投标人应递交完整的施工方案或施工组织设计，说明各分部分项工程的施工方法和布置，提交包括临时设施和施工道路的施工总布置图及其他必须的图表、文字说明书等资料，至少应包括：</w:t>
      </w:r>
    </w:p>
    <w:p>
      <w:pPr>
        <w:pStyle w:val="21"/>
        <w:adjustRightInd w:val="0"/>
        <w:snapToGrid w:val="0"/>
        <w:spacing w:line="300" w:lineRule="auto"/>
        <w:rPr>
          <w:rFonts w:hAnsi="宋体"/>
          <w:highlight w:val="none"/>
        </w:rPr>
      </w:pPr>
      <w:r>
        <w:rPr>
          <w:rFonts w:hint="eastAsia" w:hAnsi="宋体"/>
          <w:highlight w:val="none"/>
        </w:rPr>
        <w:t>一、各分部分项工程的完整的施工方案，保证质量的措施；</w:t>
      </w:r>
    </w:p>
    <w:p>
      <w:pPr>
        <w:pStyle w:val="21"/>
        <w:adjustRightInd w:val="0"/>
        <w:snapToGrid w:val="0"/>
        <w:spacing w:line="300" w:lineRule="auto"/>
        <w:rPr>
          <w:rFonts w:hAnsi="宋体"/>
          <w:highlight w:val="none"/>
        </w:rPr>
      </w:pPr>
      <w:r>
        <w:rPr>
          <w:rFonts w:hint="eastAsia" w:hAnsi="宋体"/>
          <w:highlight w:val="none"/>
        </w:rPr>
        <w:t>二、施工机械的进场计划；</w:t>
      </w:r>
    </w:p>
    <w:p>
      <w:pPr>
        <w:pStyle w:val="21"/>
        <w:adjustRightInd w:val="0"/>
        <w:snapToGrid w:val="0"/>
        <w:spacing w:line="300" w:lineRule="auto"/>
        <w:rPr>
          <w:rFonts w:hAnsi="宋体"/>
          <w:highlight w:val="none"/>
        </w:rPr>
      </w:pPr>
      <w:r>
        <w:rPr>
          <w:rFonts w:hint="eastAsia" w:hAnsi="宋体"/>
          <w:highlight w:val="none"/>
        </w:rPr>
        <w:t>三、工程材料的进场计划；</w:t>
      </w:r>
    </w:p>
    <w:p>
      <w:pPr>
        <w:pStyle w:val="21"/>
        <w:adjustRightInd w:val="0"/>
        <w:snapToGrid w:val="0"/>
        <w:spacing w:line="300" w:lineRule="auto"/>
        <w:rPr>
          <w:rFonts w:hAnsi="宋体"/>
          <w:highlight w:val="none"/>
        </w:rPr>
      </w:pPr>
      <w:r>
        <w:rPr>
          <w:rFonts w:hint="eastAsia" w:hAnsi="宋体"/>
          <w:highlight w:val="none"/>
        </w:rPr>
        <w:t>四、施工现场平面布置图及施工道路平面图；</w:t>
      </w:r>
    </w:p>
    <w:p>
      <w:pPr>
        <w:pStyle w:val="21"/>
        <w:adjustRightInd w:val="0"/>
        <w:snapToGrid w:val="0"/>
        <w:spacing w:line="300" w:lineRule="auto"/>
        <w:rPr>
          <w:rFonts w:hAnsi="宋体"/>
          <w:highlight w:val="none"/>
        </w:rPr>
      </w:pPr>
      <w:r>
        <w:rPr>
          <w:rFonts w:hint="eastAsia" w:hAnsi="宋体"/>
          <w:highlight w:val="none"/>
        </w:rPr>
        <w:t>五、保证安全生产，文明施工，减少扰民降低环境污染和噪音的措施。</w:t>
      </w:r>
    </w:p>
    <w:p>
      <w:pPr>
        <w:pStyle w:val="4"/>
        <w:rPr>
          <w:rFonts w:ascii="宋体" w:hAnsi="宋体" w:eastAsia="宋体"/>
          <w:snapToGrid w:val="0"/>
          <w:highlight w:val="none"/>
        </w:rPr>
      </w:pPr>
      <w:bookmarkStart w:id="81" w:name="_Toc6940"/>
      <w:r>
        <w:rPr>
          <w:rFonts w:hint="eastAsia" w:ascii="宋体" w:hAnsi="宋体" w:eastAsia="宋体"/>
          <w:snapToGrid w:val="0"/>
          <w:highlight w:val="none"/>
        </w:rPr>
        <w:t>六、资格审查资料</w:t>
      </w:r>
      <w:bookmarkEnd w:id="81"/>
    </w:p>
    <w:p>
      <w:pPr>
        <w:pStyle w:val="4"/>
        <w:rPr>
          <w:rFonts w:ascii="宋体" w:hAnsi="宋体" w:eastAsia="宋体"/>
          <w:snapToGrid w:val="0"/>
          <w:highlight w:val="none"/>
        </w:rPr>
      </w:pPr>
      <w:bookmarkStart w:id="82" w:name="_Toc20920"/>
      <w:r>
        <w:rPr>
          <w:rFonts w:hint="eastAsia" w:ascii="宋体" w:hAnsi="宋体" w:eastAsia="宋体"/>
          <w:snapToGrid w:val="0"/>
          <w:highlight w:val="none"/>
        </w:rPr>
        <w:t>七、其他资料</w:t>
      </w:r>
      <w:bookmarkEnd w:id="82"/>
    </w:p>
    <w:p>
      <w:pPr>
        <w:pStyle w:val="21"/>
        <w:adjustRightInd w:val="0"/>
        <w:snapToGrid w:val="0"/>
        <w:spacing w:line="300" w:lineRule="auto"/>
        <w:jc w:val="center"/>
        <w:rPr>
          <w:rFonts w:hAnsi="宋体"/>
          <w:highlight w:val="none"/>
        </w:rPr>
      </w:pPr>
      <w:r>
        <w:rPr>
          <w:rFonts w:hAnsi="宋体"/>
          <w:b/>
          <w:bCs/>
          <w:sz w:val="32"/>
          <w:highlight w:val="none"/>
        </w:rPr>
        <w:t xml:space="preserve"> </w:t>
      </w:r>
      <w:r>
        <w:rPr>
          <w:rFonts w:hint="eastAsia" w:hAnsi="宋体"/>
          <w:b/>
          <w:bCs/>
          <w:sz w:val="32"/>
          <w:highlight w:val="none"/>
        </w:rPr>
        <w:t>投标文件中所需其它资料由各投标单位自主确定</w:t>
      </w:r>
    </w:p>
    <w:sectPr>
      <w:footerReference r:id="rId3" w:type="default"/>
      <w:pgSz w:w="11907" w:h="16840"/>
      <w:pgMar w:top="1418" w:right="1418" w:bottom="1418" w:left="1418" w:header="720" w:footer="720"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KNL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7</w:t>
    </w:r>
    <w:r>
      <w:rPr>
        <w:rStyle w:val="44"/>
      </w:rPr>
      <w:fldChar w:fldCharType="end"/>
    </w:r>
  </w:p>
  <w:p>
    <w:pPr>
      <w:pStyle w:val="26"/>
      <w:ind w:right="360"/>
      <w:jc w:val="center"/>
    </w:pPr>
    <w:r>
      <w:rPr>
        <w:rStyle w:val="4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3F115"/>
    <w:multiLevelType w:val="singleLevel"/>
    <w:tmpl w:val="DEF3F1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drawingGridHorizontalSpacing w:val="100"/>
  <w:drawingGridVerticalSpacing w:val="271"/>
  <w:noPunctuationKerning w:val="1"/>
  <w:characterSpacingControl w:val="doNotCompress"/>
  <w:noLineBreaksAfter w:lang="zh-CN" w:val="$([{£¥·‘“〈《「『【〔〖〝﹙﹛﹝＄（．［｛￡￥"/>
  <w:noLineBreaksBefore w:lang="zh-CN" w:val="!%),.:;&gt;?]}¢¨°·ˇˉ―‖’”…‰′″›℃∶、。〃〉》」』】〕〗〞︶︺︾﹀﹄﹚﹜﹞！＂％＇），．：；？］｀｜｝～￠"/>
  <w:doNotValidateAgainstSchema/>
  <w:doNotDemarcateInvalidXml/>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F857E74"/>
    <w:rsid w:val="11EA1373"/>
    <w:rsid w:val="12841571"/>
    <w:rsid w:val="14E909DB"/>
    <w:rsid w:val="15423A31"/>
    <w:rsid w:val="15EE0289"/>
    <w:rsid w:val="169544DD"/>
    <w:rsid w:val="16FA74C1"/>
    <w:rsid w:val="178156C7"/>
    <w:rsid w:val="1806599D"/>
    <w:rsid w:val="18717FA7"/>
    <w:rsid w:val="1C752741"/>
    <w:rsid w:val="1D5008F3"/>
    <w:rsid w:val="1ED323A3"/>
    <w:rsid w:val="1EE17E33"/>
    <w:rsid w:val="211B33DF"/>
    <w:rsid w:val="21E75FAA"/>
    <w:rsid w:val="22A67691"/>
    <w:rsid w:val="23E073EA"/>
    <w:rsid w:val="248E6289"/>
    <w:rsid w:val="26F27C71"/>
    <w:rsid w:val="26FB00F9"/>
    <w:rsid w:val="27AF38A8"/>
    <w:rsid w:val="28C4701A"/>
    <w:rsid w:val="28D02A86"/>
    <w:rsid w:val="2B20324F"/>
    <w:rsid w:val="2E1C51B6"/>
    <w:rsid w:val="2F7A50F2"/>
    <w:rsid w:val="32910CC2"/>
    <w:rsid w:val="34105A2F"/>
    <w:rsid w:val="345859C3"/>
    <w:rsid w:val="357D1550"/>
    <w:rsid w:val="362C25ED"/>
    <w:rsid w:val="37373DA4"/>
    <w:rsid w:val="39487007"/>
    <w:rsid w:val="3AF734AE"/>
    <w:rsid w:val="3BF66C71"/>
    <w:rsid w:val="3C3876DA"/>
    <w:rsid w:val="3C56250D"/>
    <w:rsid w:val="3EE873C8"/>
    <w:rsid w:val="3F143F49"/>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FC235AE"/>
    <w:rsid w:val="60533110"/>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99" w:semiHidden="0" w:name="Hyperlink"/>
    <w:lsdException w:qFormat="1" w:unhideWhenUsed="0" w:uiPriority="0" w:semiHidden="0" w:name="FollowedHyperlink" w:locked="1"/>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等线" w:cs="Times New Roman"/>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kern w:val="44"/>
      <w:sz w:val="44"/>
    </w:rPr>
  </w:style>
  <w:style w:type="paragraph" w:styleId="3">
    <w:name w:val="heading 2"/>
    <w:basedOn w:val="1"/>
    <w:next w:val="1"/>
    <w:link w:val="49"/>
    <w:qFormat/>
    <w:uiPriority w:val="0"/>
    <w:pPr>
      <w:keepNext/>
      <w:keepLines/>
      <w:widowControl w:val="0"/>
      <w:spacing w:before="260" w:after="260" w:line="416" w:lineRule="auto"/>
      <w:jc w:val="both"/>
      <w:outlineLvl w:val="1"/>
    </w:pPr>
    <w:rPr>
      <w:rFonts w:ascii="Arial" w:hAnsi="Arial" w:eastAsia="黑体"/>
      <w:b/>
      <w:kern w:val="2"/>
      <w:sz w:val="32"/>
    </w:rPr>
  </w:style>
  <w:style w:type="paragraph" w:styleId="4">
    <w:name w:val="heading 3"/>
    <w:basedOn w:val="1"/>
    <w:next w:val="1"/>
    <w:link w:val="50"/>
    <w:qFormat/>
    <w:uiPriority w:val="0"/>
    <w:pPr>
      <w:keepNext/>
      <w:keepLines/>
      <w:widowControl w:val="0"/>
      <w:spacing w:before="260" w:after="260" w:line="416" w:lineRule="auto"/>
      <w:jc w:val="center"/>
      <w:outlineLvl w:val="2"/>
    </w:pPr>
    <w:rPr>
      <w:b/>
      <w:kern w:val="2"/>
      <w:sz w:val="32"/>
    </w:rPr>
  </w:style>
  <w:style w:type="paragraph" w:styleId="5">
    <w:name w:val="heading 4"/>
    <w:basedOn w:val="1"/>
    <w:next w:val="1"/>
    <w:link w:val="82"/>
    <w:unhideWhenUsed/>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83"/>
    <w:qFormat/>
    <w:uiPriority w:val="0"/>
    <w:pPr>
      <w:keepNext/>
      <w:keepLines/>
      <w:spacing w:before="280" w:after="290" w:line="376" w:lineRule="auto"/>
      <w:outlineLvl w:val="4"/>
    </w:pPr>
    <w:rPr>
      <w:rFonts w:ascii="Times New Roman" w:hAnsi="Times New Roman" w:eastAsia="宋体"/>
      <w:b/>
      <w:bCs/>
      <w:sz w:val="28"/>
      <w:szCs w:val="28"/>
    </w:rPr>
  </w:style>
  <w:style w:type="paragraph" w:styleId="7">
    <w:name w:val="heading 6"/>
    <w:basedOn w:val="1"/>
    <w:next w:val="1"/>
    <w:link w:val="84"/>
    <w:qFormat/>
    <w:uiPriority w:val="0"/>
    <w:pPr>
      <w:keepNext/>
      <w:keepLines/>
      <w:tabs>
        <w:tab w:val="left" w:pos="1440"/>
      </w:tabs>
      <w:spacing w:before="240" w:after="64" w:line="317" w:lineRule="auto"/>
      <w:ind w:left="1152" w:hanging="1152"/>
      <w:outlineLvl w:val="5"/>
    </w:pPr>
    <w:rPr>
      <w:rFonts w:ascii="Arial" w:hAnsi="Arial" w:eastAsia="黑体"/>
      <w:b/>
      <w:sz w:val="24"/>
    </w:rPr>
  </w:style>
  <w:style w:type="paragraph" w:styleId="8">
    <w:name w:val="heading 7"/>
    <w:basedOn w:val="1"/>
    <w:next w:val="1"/>
    <w:link w:val="85"/>
    <w:qFormat/>
    <w:uiPriority w:val="0"/>
    <w:pPr>
      <w:keepNext/>
      <w:keepLines/>
      <w:tabs>
        <w:tab w:val="left" w:pos="2520"/>
      </w:tabs>
      <w:spacing w:before="240" w:after="64" w:line="317" w:lineRule="auto"/>
      <w:ind w:left="1296" w:hanging="1296"/>
      <w:outlineLvl w:val="6"/>
    </w:pPr>
    <w:rPr>
      <w:rFonts w:ascii="Times New Roman" w:hAnsi="Times New Roman" w:eastAsia="宋体"/>
      <w:b/>
      <w:sz w:val="24"/>
    </w:rPr>
  </w:style>
  <w:style w:type="paragraph" w:styleId="9">
    <w:name w:val="heading 8"/>
    <w:basedOn w:val="1"/>
    <w:next w:val="1"/>
    <w:link w:val="86"/>
    <w:qFormat/>
    <w:uiPriority w:val="0"/>
    <w:pPr>
      <w:keepNext/>
      <w:keepLines/>
      <w:widowControl w:val="0"/>
      <w:spacing w:before="240" w:after="64" w:line="317" w:lineRule="auto"/>
      <w:jc w:val="both"/>
      <w:outlineLvl w:val="7"/>
    </w:pPr>
    <w:rPr>
      <w:rFonts w:ascii="Arial" w:hAnsi="Arial" w:eastAsia="黑体"/>
      <w:kern w:val="2"/>
      <w:sz w:val="24"/>
    </w:rPr>
  </w:style>
  <w:style w:type="paragraph" w:styleId="10">
    <w:name w:val="heading 9"/>
    <w:basedOn w:val="1"/>
    <w:next w:val="1"/>
    <w:link w:val="87"/>
    <w:qFormat/>
    <w:uiPriority w:val="0"/>
    <w:pPr>
      <w:keepNext/>
      <w:keepLines/>
      <w:tabs>
        <w:tab w:val="left" w:pos="1584"/>
      </w:tabs>
      <w:spacing w:before="240" w:after="64" w:line="317" w:lineRule="auto"/>
      <w:ind w:left="1584" w:hanging="1584"/>
      <w:outlineLvl w:val="8"/>
    </w:pPr>
    <w:rPr>
      <w:rFonts w:ascii="Arial" w:hAnsi="Arial" w:eastAsia="黑体"/>
      <w:sz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Times New Roman" w:hAnsi="Times New Roman" w:eastAsia="宋体"/>
    </w:rPr>
  </w:style>
  <w:style w:type="paragraph" w:styleId="12">
    <w:name w:val="Normal Indent"/>
    <w:basedOn w:val="1"/>
    <w:qFormat/>
    <w:uiPriority w:val="0"/>
    <w:pPr>
      <w:widowControl w:val="0"/>
      <w:adjustRightInd w:val="0"/>
      <w:spacing w:line="360" w:lineRule="atLeast"/>
      <w:ind w:firstLine="420"/>
      <w:jc w:val="both"/>
      <w:textAlignment w:val="baseline"/>
    </w:pPr>
    <w:rPr>
      <w:kern w:val="2"/>
      <w:sz w:val="21"/>
    </w:rPr>
  </w:style>
  <w:style w:type="paragraph" w:styleId="13">
    <w:name w:val="Document Map"/>
    <w:basedOn w:val="1"/>
    <w:link w:val="51"/>
    <w:qFormat/>
    <w:uiPriority w:val="0"/>
    <w:pPr>
      <w:shd w:val="clear" w:color="auto" w:fill="000080"/>
    </w:pPr>
    <w:rPr>
      <w:rFonts w:ascii="Times New Roman" w:hAnsi="Times New Roman"/>
      <w:sz w:val="2"/>
    </w:rPr>
  </w:style>
  <w:style w:type="paragraph" w:styleId="14">
    <w:name w:val="annotation text"/>
    <w:basedOn w:val="1"/>
    <w:link w:val="52"/>
    <w:qFormat/>
    <w:uiPriority w:val="0"/>
    <w:pPr>
      <w:widowControl w:val="0"/>
    </w:pPr>
    <w:rPr>
      <w:kern w:val="2"/>
      <w:sz w:val="24"/>
    </w:rPr>
  </w:style>
  <w:style w:type="paragraph" w:styleId="15">
    <w:name w:val="Body Text 3"/>
    <w:basedOn w:val="1"/>
    <w:link w:val="53"/>
    <w:qFormat/>
    <w:uiPriority w:val="0"/>
    <w:pPr>
      <w:tabs>
        <w:tab w:val="left" w:pos="0"/>
        <w:tab w:val="left" w:pos="993"/>
        <w:tab w:val="left" w:pos="1134"/>
      </w:tabs>
      <w:adjustRightInd w:val="0"/>
      <w:snapToGrid w:val="0"/>
      <w:spacing w:line="360" w:lineRule="auto"/>
      <w:jc w:val="both"/>
    </w:pPr>
    <w:rPr>
      <w:sz w:val="16"/>
      <w:szCs w:val="16"/>
    </w:rPr>
  </w:style>
  <w:style w:type="paragraph" w:styleId="16">
    <w:name w:val="Body Text"/>
    <w:basedOn w:val="1"/>
    <w:link w:val="54"/>
    <w:qFormat/>
    <w:uiPriority w:val="0"/>
    <w:pPr>
      <w:tabs>
        <w:tab w:val="left" w:pos="0"/>
        <w:tab w:val="left" w:pos="993"/>
        <w:tab w:val="left" w:pos="1134"/>
      </w:tabs>
      <w:spacing w:line="500" w:lineRule="exact"/>
      <w:jc w:val="both"/>
    </w:pPr>
  </w:style>
  <w:style w:type="paragraph" w:styleId="17">
    <w:name w:val="Body Text Indent"/>
    <w:basedOn w:val="1"/>
    <w:link w:val="55"/>
    <w:qFormat/>
    <w:uiPriority w:val="0"/>
    <w:pPr>
      <w:tabs>
        <w:tab w:val="left" w:pos="0"/>
        <w:tab w:val="left" w:pos="993"/>
        <w:tab w:val="left" w:pos="1134"/>
      </w:tabs>
      <w:spacing w:line="500" w:lineRule="exact"/>
      <w:ind w:firstLine="567"/>
      <w:jc w:val="both"/>
    </w:pPr>
  </w:style>
  <w:style w:type="paragraph" w:styleId="18">
    <w:name w:val="index 4"/>
    <w:basedOn w:val="1"/>
    <w:next w:val="1"/>
    <w:qFormat/>
    <w:locked/>
    <w:uiPriority w:val="0"/>
    <w:pPr>
      <w:widowControl w:val="0"/>
      <w:ind w:left="600" w:leftChars="600"/>
      <w:jc w:val="both"/>
    </w:pPr>
    <w:rPr>
      <w:rFonts w:ascii="Times New Roman" w:hAnsi="Times New Roman" w:eastAsia="宋体"/>
      <w:kern w:val="2"/>
      <w:sz w:val="21"/>
      <w:szCs w:val="24"/>
    </w:rPr>
  </w:style>
  <w:style w:type="paragraph" w:styleId="19">
    <w:name w:val="toc 5"/>
    <w:basedOn w:val="1"/>
    <w:next w:val="1"/>
    <w:qFormat/>
    <w:uiPriority w:val="39"/>
    <w:pPr>
      <w:ind w:left="1680" w:leftChars="800"/>
    </w:pPr>
    <w:rPr>
      <w:rFonts w:ascii="Times New Roman" w:hAnsi="Times New Roman" w:eastAsia="宋体"/>
    </w:rPr>
  </w:style>
  <w:style w:type="paragraph" w:styleId="20">
    <w:name w:val="toc 3"/>
    <w:basedOn w:val="1"/>
    <w:next w:val="1"/>
    <w:qFormat/>
    <w:uiPriority w:val="39"/>
    <w:pPr>
      <w:ind w:left="840" w:leftChars="400"/>
    </w:pPr>
  </w:style>
  <w:style w:type="paragraph" w:styleId="21">
    <w:name w:val="Plain Text"/>
    <w:basedOn w:val="1"/>
    <w:link w:val="56"/>
    <w:qFormat/>
    <w:uiPriority w:val="0"/>
    <w:pPr>
      <w:widowControl w:val="0"/>
      <w:jc w:val="both"/>
    </w:pPr>
    <w:rPr>
      <w:rFonts w:ascii="宋体" w:hAnsi="Courier New"/>
      <w:kern w:val="2"/>
      <w:sz w:val="21"/>
    </w:rPr>
  </w:style>
  <w:style w:type="paragraph" w:styleId="22">
    <w:name w:val="toc 8"/>
    <w:basedOn w:val="1"/>
    <w:next w:val="1"/>
    <w:qFormat/>
    <w:uiPriority w:val="39"/>
    <w:pPr>
      <w:ind w:left="2940" w:leftChars="1400"/>
    </w:pPr>
    <w:rPr>
      <w:rFonts w:ascii="Times New Roman" w:hAnsi="Times New Roman" w:eastAsia="宋体"/>
    </w:rPr>
  </w:style>
  <w:style w:type="paragraph" w:styleId="23">
    <w:name w:val="Date"/>
    <w:basedOn w:val="1"/>
    <w:next w:val="1"/>
    <w:link w:val="57"/>
    <w:qFormat/>
    <w:uiPriority w:val="0"/>
    <w:pPr>
      <w:jc w:val="both"/>
    </w:pPr>
    <w:rPr>
      <w:rFonts w:eastAsia="仿宋_GB2312"/>
      <w:sz w:val="30"/>
    </w:rPr>
  </w:style>
  <w:style w:type="paragraph" w:styleId="24">
    <w:name w:val="Body Text Indent 2"/>
    <w:basedOn w:val="1"/>
    <w:link w:val="58"/>
    <w:qFormat/>
    <w:uiPriority w:val="0"/>
    <w:pPr>
      <w:tabs>
        <w:tab w:val="left" w:pos="0"/>
        <w:tab w:val="left" w:pos="993"/>
        <w:tab w:val="left" w:pos="1134"/>
      </w:tabs>
      <w:spacing w:line="500" w:lineRule="exact"/>
      <w:ind w:firstLine="851"/>
      <w:jc w:val="both"/>
    </w:pPr>
  </w:style>
  <w:style w:type="paragraph" w:styleId="25">
    <w:name w:val="Balloon Text"/>
    <w:basedOn w:val="1"/>
    <w:link w:val="59"/>
    <w:qFormat/>
    <w:uiPriority w:val="0"/>
    <w:rPr>
      <w:sz w:val="2"/>
    </w:rPr>
  </w:style>
  <w:style w:type="paragraph" w:styleId="26">
    <w:name w:val="footer"/>
    <w:basedOn w:val="1"/>
    <w:link w:val="60"/>
    <w:qFormat/>
    <w:uiPriority w:val="99"/>
    <w:pPr>
      <w:tabs>
        <w:tab w:val="center" w:pos="4153"/>
        <w:tab w:val="right" w:pos="8306"/>
      </w:tabs>
      <w:snapToGrid w:val="0"/>
    </w:pPr>
    <w:rPr>
      <w:sz w:val="18"/>
    </w:rPr>
  </w:style>
  <w:style w:type="paragraph" w:styleId="27">
    <w:name w:val="header"/>
    <w:basedOn w:val="1"/>
    <w:link w:val="6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toc 4"/>
    <w:basedOn w:val="1"/>
    <w:next w:val="1"/>
    <w:qFormat/>
    <w:uiPriority w:val="39"/>
    <w:pPr>
      <w:ind w:left="1260" w:leftChars="600"/>
    </w:pPr>
    <w:rPr>
      <w:rFonts w:ascii="Times New Roman" w:hAnsi="Times New Roman" w:eastAsia="宋体"/>
    </w:rPr>
  </w:style>
  <w:style w:type="paragraph" w:styleId="30">
    <w:name w:val="Subtitle"/>
    <w:basedOn w:val="1"/>
    <w:next w:val="1"/>
    <w:link w:val="103"/>
    <w:qFormat/>
    <w:uiPriority w:val="0"/>
    <w:pPr>
      <w:widowControl w:val="0"/>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39"/>
    <w:pPr>
      <w:ind w:left="2100" w:leftChars="1000"/>
    </w:pPr>
    <w:rPr>
      <w:rFonts w:ascii="Times New Roman" w:hAnsi="Times New Roman" w:eastAsia="宋体"/>
    </w:rPr>
  </w:style>
  <w:style w:type="paragraph" w:styleId="32">
    <w:name w:val="Body Text Indent 3"/>
    <w:basedOn w:val="1"/>
    <w:link w:val="62"/>
    <w:qFormat/>
    <w:uiPriority w:val="0"/>
    <w:pPr>
      <w:tabs>
        <w:tab w:val="left" w:pos="0"/>
        <w:tab w:val="left" w:pos="1134"/>
      </w:tabs>
      <w:adjustRightInd w:val="0"/>
      <w:snapToGrid w:val="0"/>
      <w:spacing w:line="360" w:lineRule="auto"/>
      <w:ind w:left="567"/>
    </w:pPr>
    <w:rPr>
      <w:sz w:val="16"/>
      <w:szCs w:val="16"/>
    </w:r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rPr>
      <w:rFonts w:ascii="Times New Roman" w:hAnsi="Times New Roman" w:eastAsia="宋体"/>
    </w:rPr>
  </w:style>
  <w:style w:type="paragraph" w:styleId="35">
    <w:name w:val="Body Text 2"/>
    <w:basedOn w:val="1"/>
    <w:link w:val="63"/>
    <w:qFormat/>
    <w:uiPriority w:val="0"/>
    <w:pPr>
      <w:tabs>
        <w:tab w:val="left" w:pos="0"/>
        <w:tab w:val="left" w:pos="993"/>
        <w:tab w:val="left" w:pos="1134"/>
      </w:tabs>
      <w:spacing w:line="240" w:lineRule="exact"/>
      <w:jc w:val="both"/>
    </w:pPr>
  </w:style>
  <w:style w:type="paragraph" w:styleId="36">
    <w:name w:val="HTML Preformatted"/>
    <w:basedOn w:val="1"/>
    <w:link w:val="6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37">
    <w:name w:val="Normal (Web)"/>
    <w:basedOn w:val="1"/>
    <w:qFormat/>
    <w:uiPriority w:val="99"/>
    <w:pPr>
      <w:spacing w:before="100" w:beforeAutospacing="1" w:after="100" w:afterAutospacing="1"/>
    </w:pPr>
    <w:rPr>
      <w:rFonts w:ascii="宋体" w:hAnsi="宋体"/>
      <w:sz w:val="24"/>
      <w:szCs w:val="24"/>
    </w:rPr>
  </w:style>
  <w:style w:type="paragraph" w:styleId="38">
    <w:name w:val="Title"/>
    <w:basedOn w:val="1"/>
    <w:next w:val="1"/>
    <w:link w:val="65"/>
    <w:qFormat/>
    <w:uiPriority w:val="0"/>
    <w:pPr>
      <w:spacing w:before="240" w:after="60"/>
      <w:jc w:val="center"/>
      <w:outlineLvl w:val="0"/>
    </w:pPr>
    <w:rPr>
      <w:rFonts w:ascii="Cambria" w:hAnsi="Cambria"/>
      <w:b/>
      <w:sz w:val="32"/>
    </w:rPr>
  </w:style>
  <w:style w:type="paragraph" w:styleId="39">
    <w:name w:val="annotation subject"/>
    <w:basedOn w:val="14"/>
    <w:next w:val="14"/>
    <w:link w:val="80"/>
    <w:qFormat/>
    <w:uiPriority w:val="0"/>
    <w:pPr>
      <w:widowControl/>
    </w:pPr>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3">
    <w:name w:val="Strong"/>
    <w:qFormat/>
    <w:uiPriority w:val="99"/>
    <w:rPr>
      <w:rFonts w:cs="Times New Roman"/>
      <w:b/>
    </w:rPr>
  </w:style>
  <w:style w:type="character" w:styleId="44">
    <w:name w:val="page number"/>
    <w:qFormat/>
    <w:uiPriority w:val="0"/>
    <w:rPr>
      <w:rFonts w:cs="Times New Roman"/>
    </w:rPr>
  </w:style>
  <w:style w:type="character" w:styleId="45">
    <w:name w:val="FollowedHyperlink"/>
    <w:basedOn w:val="42"/>
    <w:qFormat/>
    <w:locked/>
    <w:uiPriority w:val="0"/>
    <w:rPr>
      <w:color w:val="800080"/>
      <w:u w:val="single"/>
    </w:rPr>
  </w:style>
  <w:style w:type="character" w:styleId="46">
    <w:name w:val="Hyperlink"/>
    <w:qFormat/>
    <w:uiPriority w:val="99"/>
    <w:rPr>
      <w:rFonts w:cs="Times New Roman"/>
      <w:color w:val="0000FF"/>
      <w:u w:val="single"/>
    </w:rPr>
  </w:style>
  <w:style w:type="character" w:styleId="47">
    <w:name w:val="annotation reference"/>
    <w:qFormat/>
    <w:uiPriority w:val="99"/>
    <w:rPr>
      <w:rFonts w:cs="Times New Roman"/>
      <w:sz w:val="21"/>
    </w:rPr>
  </w:style>
  <w:style w:type="character" w:customStyle="1" w:styleId="48">
    <w:name w:val="标题 1 Char"/>
    <w:link w:val="2"/>
    <w:qFormat/>
    <w:locked/>
    <w:uiPriority w:val="0"/>
    <w:rPr>
      <w:rFonts w:cs="Times New Roman"/>
      <w:b/>
      <w:kern w:val="44"/>
      <w:sz w:val="44"/>
    </w:rPr>
  </w:style>
  <w:style w:type="character" w:customStyle="1" w:styleId="49">
    <w:name w:val="标题 2 Char"/>
    <w:link w:val="3"/>
    <w:qFormat/>
    <w:locked/>
    <w:uiPriority w:val="0"/>
    <w:rPr>
      <w:rFonts w:ascii="Arial" w:hAnsi="Arial" w:eastAsia="黑体" w:cs="Times New Roman"/>
      <w:b/>
      <w:kern w:val="2"/>
      <w:sz w:val="32"/>
    </w:rPr>
  </w:style>
  <w:style w:type="character" w:customStyle="1" w:styleId="50">
    <w:name w:val="标题 3 Char"/>
    <w:link w:val="4"/>
    <w:qFormat/>
    <w:locked/>
    <w:uiPriority w:val="0"/>
    <w:rPr>
      <w:rFonts w:cs="Times New Roman"/>
      <w:b/>
      <w:kern w:val="2"/>
      <w:sz w:val="32"/>
    </w:rPr>
  </w:style>
  <w:style w:type="character" w:customStyle="1" w:styleId="51">
    <w:name w:val="文档结构图 Char"/>
    <w:link w:val="13"/>
    <w:qFormat/>
    <w:locked/>
    <w:uiPriority w:val="0"/>
    <w:rPr>
      <w:rFonts w:ascii="Times New Roman" w:hAnsi="Times New Roman" w:cs="Times New Roman"/>
      <w:kern w:val="0"/>
      <w:sz w:val="2"/>
    </w:rPr>
  </w:style>
  <w:style w:type="character" w:customStyle="1" w:styleId="52">
    <w:name w:val="批注文字 Char"/>
    <w:link w:val="14"/>
    <w:qFormat/>
    <w:locked/>
    <w:uiPriority w:val="0"/>
    <w:rPr>
      <w:rFonts w:cs="Times New Roman"/>
      <w:kern w:val="2"/>
      <w:sz w:val="24"/>
    </w:rPr>
  </w:style>
  <w:style w:type="character" w:customStyle="1" w:styleId="53">
    <w:name w:val="正文文本 3 Char"/>
    <w:link w:val="15"/>
    <w:qFormat/>
    <w:locked/>
    <w:uiPriority w:val="0"/>
    <w:rPr>
      <w:rFonts w:cs="Times New Roman"/>
      <w:kern w:val="0"/>
      <w:sz w:val="16"/>
    </w:rPr>
  </w:style>
  <w:style w:type="character" w:customStyle="1" w:styleId="54">
    <w:name w:val="正文文本 Char"/>
    <w:link w:val="16"/>
    <w:qFormat/>
    <w:locked/>
    <w:uiPriority w:val="0"/>
    <w:rPr>
      <w:rFonts w:cs="Times New Roman"/>
      <w:kern w:val="0"/>
      <w:sz w:val="20"/>
    </w:rPr>
  </w:style>
  <w:style w:type="character" w:customStyle="1" w:styleId="55">
    <w:name w:val="正文文本缩进 Char"/>
    <w:link w:val="17"/>
    <w:qFormat/>
    <w:locked/>
    <w:uiPriority w:val="0"/>
    <w:rPr>
      <w:rFonts w:cs="Times New Roman"/>
      <w:kern w:val="0"/>
      <w:sz w:val="20"/>
    </w:rPr>
  </w:style>
  <w:style w:type="character" w:customStyle="1" w:styleId="56">
    <w:name w:val="纯文本 Char"/>
    <w:link w:val="21"/>
    <w:qFormat/>
    <w:locked/>
    <w:uiPriority w:val="0"/>
    <w:rPr>
      <w:rFonts w:ascii="宋体" w:hAnsi="Courier New" w:cs="Times New Roman"/>
      <w:kern w:val="2"/>
      <w:sz w:val="21"/>
    </w:rPr>
  </w:style>
  <w:style w:type="character" w:customStyle="1" w:styleId="57">
    <w:name w:val="日期 Char"/>
    <w:link w:val="23"/>
    <w:qFormat/>
    <w:locked/>
    <w:uiPriority w:val="0"/>
    <w:rPr>
      <w:rFonts w:eastAsia="仿宋_GB2312" w:cs="Times New Roman"/>
      <w:sz w:val="30"/>
    </w:rPr>
  </w:style>
  <w:style w:type="character" w:customStyle="1" w:styleId="58">
    <w:name w:val="正文文本缩进 2 Char"/>
    <w:link w:val="24"/>
    <w:qFormat/>
    <w:locked/>
    <w:uiPriority w:val="0"/>
    <w:rPr>
      <w:rFonts w:cs="Times New Roman"/>
      <w:kern w:val="0"/>
      <w:sz w:val="20"/>
    </w:rPr>
  </w:style>
  <w:style w:type="character" w:customStyle="1" w:styleId="59">
    <w:name w:val="批注框文本 Char"/>
    <w:link w:val="25"/>
    <w:qFormat/>
    <w:locked/>
    <w:uiPriority w:val="0"/>
    <w:rPr>
      <w:rFonts w:cs="Times New Roman"/>
      <w:kern w:val="0"/>
      <w:sz w:val="2"/>
    </w:rPr>
  </w:style>
  <w:style w:type="character" w:customStyle="1" w:styleId="60">
    <w:name w:val="页脚 Char"/>
    <w:link w:val="26"/>
    <w:qFormat/>
    <w:locked/>
    <w:uiPriority w:val="99"/>
    <w:rPr>
      <w:rFonts w:cs="Times New Roman"/>
      <w:sz w:val="18"/>
    </w:rPr>
  </w:style>
  <w:style w:type="character" w:customStyle="1" w:styleId="61">
    <w:name w:val="页眉 Char"/>
    <w:link w:val="27"/>
    <w:qFormat/>
    <w:locked/>
    <w:uiPriority w:val="0"/>
    <w:rPr>
      <w:rFonts w:cs="Times New Roman"/>
      <w:sz w:val="18"/>
    </w:rPr>
  </w:style>
  <w:style w:type="character" w:customStyle="1" w:styleId="62">
    <w:name w:val="正文文本缩进 3 Char"/>
    <w:link w:val="32"/>
    <w:qFormat/>
    <w:locked/>
    <w:uiPriority w:val="0"/>
    <w:rPr>
      <w:rFonts w:cs="Times New Roman"/>
      <w:kern w:val="0"/>
      <w:sz w:val="16"/>
    </w:rPr>
  </w:style>
  <w:style w:type="character" w:customStyle="1" w:styleId="63">
    <w:name w:val="正文文本 2 Char"/>
    <w:link w:val="35"/>
    <w:qFormat/>
    <w:locked/>
    <w:uiPriority w:val="0"/>
    <w:rPr>
      <w:rFonts w:cs="Times New Roman"/>
      <w:kern w:val="0"/>
      <w:sz w:val="20"/>
    </w:rPr>
  </w:style>
  <w:style w:type="character" w:customStyle="1" w:styleId="64">
    <w:name w:val="HTML 预设格式 Char"/>
    <w:link w:val="36"/>
    <w:qFormat/>
    <w:locked/>
    <w:uiPriority w:val="99"/>
    <w:rPr>
      <w:rFonts w:ascii="宋体" w:eastAsia="宋体" w:cs="Times New Roman"/>
      <w:sz w:val="24"/>
    </w:rPr>
  </w:style>
  <w:style w:type="character" w:customStyle="1" w:styleId="65">
    <w:name w:val="标题 Char"/>
    <w:link w:val="38"/>
    <w:qFormat/>
    <w:locked/>
    <w:uiPriority w:val="0"/>
    <w:rPr>
      <w:rFonts w:ascii="Cambria" w:hAnsi="Cambria" w:cs="Times New Roman"/>
      <w:b/>
      <w:sz w:val="32"/>
    </w:rPr>
  </w:style>
  <w:style w:type="character" w:customStyle="1" w:styleId="66">
    <w:name w:val="left1"/>
    <w:qFormat/>
    <w:uiPriority w:val="99"/>
    <w:rPr>
      <w:sz w:val="26"/>
    </w:rPr>
  </w:style>
  <w:style w:type="paragraph" w:customStyle="1" w:styleId="67">
    <w:name w:val="正文2"/>
    <w:qFormat/>
    <w:uiPriority w:val="99"/>
    <w:rPr>
      <w:rFonts w:ascii="Calibri" w:hAnsi="Calibri" w:eastAsia="等线" w:cs="Times New Roman"/>
      <w:sz w:val="24"/>
      <w:szCs w:val="24"/>
      <w:lang w:val="en-US" w:eastAsia="zh-CN" w:bidi="ar-SA"/>
    </w:rPr>
  </w:style>
  <w:style w:type="paragraph" w:customStyle="1" w:styleId="68">
    <w:name w:val="日期1"/>
    <w:basedOn w:val="1"/>
    <w:next w:val="1"/>
    <w:qFormat/>
    <w:uiPriority w:val="99"/>
    <w:pPr>
      <w:widowControl w:val="0"/>
      <w:adjustRightInd w:val="0"/>
      <w:spacing w:line="360" w:lineRule="atLeast"/>
      <w:jc w:val="both"/>
      <w:textAlignment w:val="baseline"/>
    </w:pPr>
    <w:rPr>
      <w:rFonts w:ascii="黑体" w:eastAsia="黑体"/>
      <w:kern w:val="2"/>
      <w:sz w:val="32"/>
    </w:rPr>
  </w:style>
  <w:style w:type="paragraph" w:customStyle="1" w:styleId="69">
    <w:name w:val="列出段落1"/>
    <w:basedOn w:val="1"/>
    <w:qFormat/>
    <w:uiPriority w:val="0"/>
    <w:pPr>
      <w:widowControl w:val="0"/>
      <w:ind w:firstLine="420" w:firstLineChars="200"/>
      <w:jc w:val="both"/>
    </w:pPr>
    <w:rPr>
      <w:kern w:val="2"/>
      <w:sz w:val="21"/>
      <w:szCs w:val="22"/>
    </w:rPr>
  </w:style>
  <w:style w:type="paragraph" w:customStyle="1" w:styleId="70">
    <w:name w:val="正文1"/>
    <w:qFormat/>
    <w:uiPriority w:val="0"/>
    <w:rPr>
      <w:rFonts w:ascii="Calibri" w:hAnsi="Calibri" w:eastAsia="等线" w:cs="Times New Roman"/>
      <w:sz w:val="24"/>
      <w:szCs w:val="24"/>
      <w:lang w:val="en-US" w:eastAsia="zh-CN" w:bidi="ar-SA"/>
    </w:rPr>
  </w:style>
  <w:style w:type="paragraph" w:customStyle="1" w:styleId="71">
    <w:name w:val="正文11"/>
    <w:qFormat/>
    <w:uiPriority w:val="99"/>
    <w:rPr>
      <w:rFonts w:ascii="Calibri" w:hAnsi="Calibri" w:eastAsia="等线" w:cs="Times New Roman"/>
      <w:sz w:val="24"/>
      <w:szCs w:val="24"/>
      <w:lang w:val="en-US" w:eastAsia="zh-CN" w:bidi="ar-SA"/>
    </w:rPr>
  </w:style>
  <w:style w:type="paragraph" w:customStyle="1" w:styleId="72">
    <w:name w:val="Default"/>
    <w:qFormat/>
    <w:uiPriority w:val="99"/>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73">
    <w:name w:val="Char"/>
    <w:basedOn w:val="1"/>
    <w:qFormat/>
    <w:uiPriority w:val="99"/>
    <w:pPr>
      <w:widowControl w:val="0"/>
      <w:jc w:val="both"/>
    </w:pPr>
    <w:rPr>
      <w:kern w:val="2"/>
      <w:sz w:val="21"/>
      <w:szCs w:val="24"/>
    </w:rPr>
  </w:style>
  <w:style w:type="paragraph" w:customStyle="1" w:styleId="74">
    <w:name w:val="_Style 2"/>
    <w:basedOn w:val="1"/>
    <w:qFormat/>
    <w:uiPriority w:val="99"/>
    <w:pPr>
      <w:widowControl w:val="0"/>
      <w:ind w:firstLine="420" w:firstLineChars="200"/>
      <w:jc w:val="both"/>
    </w:pPr>
    <w:rPr>
      <w:rFonts w:ascii="Calibri" w:hAnsi="Calibri"/>
      <w:kern w:val="2"/>
      <w:sz w:val="21"/>
      <w:szCs w:val="24"/>
    </w:rPr>
  </w:style>
  <w:style w:type="paragraph" w:customStyle="1" w:styleId="75">
    <w:name w:val="样式 标题 2 + Times New Roman 四号 非加粗 段前: 5 磅 段后: 0 磅 行距: 固定值 20..."/>
    <w:basedOn w:val="3"/>
    <w:qFormat/>
    <w:uiPriority w:val="99"/>
    <w:pPr>
      <w:spacing w:before="100" w:after="0" w:line="400" w:lineRule="exact"/>
    </w:pPr>
    <w:rPr>
      <w:rFonts w:ascii="Times New Roman" w:hAnsi="Times New Roman"/>
      <w:b w:val="0"/>
      <w:sz w:val="28"/>
    </w:rPr>
  </w:style>
  <w:style w:type="paragraph" w:customStyle="1" w:styleId="76">
    <w:name w:val="newstyle15"/>
    <w:basedOn w:val="1"/>
    <w:qFormat/>
    <w:uiPriority w:val="99"/>
    <w:pPr>
      <w:spacing w:before="100" w:beforeAutospacing="1" w:after="100" w:afterAutospacing="1"/>
    </w:pPr>
    <w:rPr>
      <w:rFonts w:ascii="宋体" w:hAnsi="宋体" w:cs="宋体"/>
      <w:sz w:val="24"/>
      <w:szCs w:val="24"/>
    </w:rPr>
  </w:style>
  <w:style w:type="paragraph" w:customStyle="1" w:styleId="77">
    <w:name w:val="默认段落字体 Para Char Char Char Char Char Char Char Char Char1 Char Char Char Char"/>
    <w:basedOn w:val="1"/>
    <w:qFormat/>
    <w:uiPriority w:val="99"/>
    <w:pPr>
      <w:widowControl w:val="0"/>
      <w:jc w:val="both"/>
    </w:pPr>
    <w:rPr>
      <w:rFonts w:ascii="Tahoma" w:hAnsi="Tahoma"/>
      <w:kern w:val="2"/>
      <w:sz w:val="24"/>
    </w:rPr>
  </w:style>
  <w:style w:type="paragraph" w:customStyle="1" w:styleId="78">
    <w:name w:val="p0"/>
    <w:basedOn w:val="1"/>
    <w:qFormat/>
    <w:uiPriority w:val="99"/>
    <w:pPr>
      <w:jc w:val="both"/>
    </w:pPr>
    <w:rPr>
      <w:sz w:val="21"/>
      <w:szCs w:val="21"/>
    </w:rPr>
  </w:style>
  <w:style w:type="paragraph" w:customStyle="1" w:styleId="79">
    <w:name w:val="xl65"/>
    <w:basedOn w:val="1"/>
    <w:qFormat/>
    <w:uiPriority w:val="99"/>
    <w:pPr>
      <w:spacing w:before="100" w:beforeAutospacing="1" w:after="100" w:afterAutospacing="1"/>
    </w:pPr>
    <w:rPr>
      <w:rFonts w:ascii="宋体" w:hAnsi="宋体" w:cs="宋体"/>
      <w:sz w:val="24"/>
      <w:szCs w:val="24"/>
    </w:rPr>
  </w:style>
  <w:style w:type="character" w:customStyle="1" w:styleId="80">
    <w:name w:val="批注主题 Char"/>
    <w:link w:val="39"/>
    <w:qFormat/>
    <w:locked/>
    <w:uiPriority w:val="0"/>
    <w:rPr>
      <w:rFonts w:cs="Times New Roman"/>
      <w:b/>
      <w:kern w:val="2"/>
      <w:sz w:val="24"/>
    </w:rPr>
  </w:style>
  <w:style w:type="paragraph" w:customStyle="1" w:styleId="81">
    <w:name w:val="正文缩进1"/>
    <w:basedOn w:val="70"/>
    <w:qFormat/>
    <w:uiPriority w:val="99"/>
    <w:pPr>
      <w:widowControl w:val="0"/>
      <w:adjustRightInd w:val="0"/>
      <w:spacing w:line="360" w:lineRule="atLeast"/>
      <w:ind w:firstLine="420"/>
      <w:jc w:val="both"/>
      <w:textAlignment w:val="baseline"/>
    </w:pPr>
    <w:rPr>
      <w:rFonts w:ascii="等线" w:hAnsi="等线"/>
      <w:kern w:val="2"/>
      <w:sz w:val="21"/>
      <w:szCs w:val="20"/>
    </w:rPr>
  </w:style>
  <w:style w:type="character" w:customStyle="1" w:styleId="82">
    <w:name w:val="标题 4 Char"/>
    <w:basedOn w:val="42"/>
    <w:link w:val="5"/>
    <w:qFormat/>
    <w:uiPriority w:val="0"/>
    <w:rPr>
      <w:rFonts w:ascii="Cambria" w:hAnsi="Cambria" w:eastAsia="宋体"/>
      <w:b/>
      <w:bCs/>
      <w:sz w:val="28"/>
      <w:szCs w:val="28"/>
    </w:rPr>
  </w:style>
  <w:style w:type="character" w:customStyle="1" w:styleId="83">
    <w:name w:val="标题 5 Char"/>
    <w:basedOn w:val="42"/>
    <w:link w:val="6"/>
    <w:qFormat/>
    <w:uiPriority w:val="0"/>
    <w:rPr>
      <w:rFonts w:ascii="Times New Roman" w:hAnsi="Times New Roman" w:eastAsia="宋体"/>
      <w:b/>
      <w:bCs/>
      <w:sz w:val="28"/>
      <w:szCs w:val="28"/>
    </w:rPr>
  </w:style>
  <w:style w:type="character" w:customStyle="1" w:styleId="84">
    <w:name w:val="标题 6 Char"/>
    <w:basedOn w:val="42"/>
    <w:link w:val="7"/>
    <w:qFormat/>
    <w:uiPriority w:val="0"/>
    <w:rPr>
      <w:rFonts w:ascii="Arial" w:hAnsi="Arial" w:eastAsia="黑体"/>
      <w:b/>
      <w:sz w:val="24"/>
    </w:rPr>
  </w:style>
  <w:style w:type="character" w:customStyle="1" w:styleId="85">
    <w:name w:val="标题 7 Char"/>
    <w:basedOn w:val="42"/>
    <w:link w:val="8"/>
    <w:qFormat/>
    <w:uiPriority w:val="0"/>
    <w:rPr>
      <w:rFonts w:ascii="Times New Roman" w:hAnsi="Times New Roman" w:eastAsia="宋体"/>
      <w:b/>
      <w:sz w:val="24"/>
    </w:rPr>
  </w:style>
  <w:style w:type="character" w:customStyle="1" w:styleId="86">
    <w:name w:val="标题 8 Char"/>
    <w:basedOn w:val="42"/>
    <w:link w:val="9"/>
    <w:qFormat/>
    <w:uiPriority w:val="0"/>
    <w:rPr>
      <w:rFonts w:ascii="Arial" w:hAnsi="Arial" w:eastAsia="黑体"/>
      <w:kern w:val="2"/>
      <w:sz w:val="24"/>
    </w:rPr>
  </w:style>
  <w:style w:type="character" w:customStyle="1" w:styleId="87">
    <w:name w:val="标题 9 Char"/>
    <w:basedOn w:val="42"/>
    <w:link w:val="10"/>
    <w:qFormat/>
    <w:uiPriority w:val="0"/>
    <w:rPr>
      <w:rFonts w:ascii="Arial" w:hAnsi="Arial" w:eastAsia="黑体"/>
      <w:sz w:val="21"/>
    </w:rPr>
  </w:style>
  <w:style w:type="paragraph" w:customStyle="1" w:styleId="88">
    <w:name w:val="xl31"/>
    <w:basedOn w:val="1"/>
    <w:qFormat/>
    <w:uiPriority w:val="0"/>
    <w:pPr>
      <w:pBdr>
        <w:left w:val="single" w:color="auto" w:sz="4" w:space="0"/>
        <w:bottom w:val="single" w:color="auto" w:sz="4" w:space="0"/>
      </w:pBdr>
      <w:spacing w:before="100" w:beforeAutospacing="1" w:after="100" w:afterAutospacing="1"/>
      <w:jc w:val="center"/>
      <w:textAlignment w:val="center"/>
    </w:pPr>
    <w:rPr>
      <w:rFonts w:ascii="宋体" w:hAnsi="宋体" w:eastAsia="宋体"/>
      <w:sz w:val="24"/>
      <w:szCs w:val="24"/>
    </w:rPr>
  </w:style>
  <w:style w:type="paragraph" w:customStyle="1" w:styleId="89">
    <w:name w:val="font6"/>
    <w:basedOn w:val="1"/>
    <w:qFormat/>
    <w:uiPriority w:val="0"/>
    <w:pPr>
      <w:spacing w:before="100" w:beforeAutospacing="1" w:after="100" w:afterAutospacing="1"/>
    </w:pPr>
    <w:rPr>
      <w:rFonts w:ascii="Times New Roman" w:hAnsi="Times New Roman" w:eastAsia="宋体"/>
      <w:sz w:val="24"/>
      <w:szCs w:val="24"/>
    </w:rPr>
  </w:style>
  <w:style w:type="paragraph" w:customStyle="1" w:styleId="90">
    <w:name w:val="Char Char Char Char Char Char"/>
    <w:basedOn w:val="1"/>
    <w:qFormat/>
    <w:uiPriority w:val="0"/>
    <w:pPr>
      <w:spacing w:after="160" w:line="240" w:lineRule="exact"/>
    </w:pPr>
    <w:rPr>
      <w:rFonts w:ascii="Arial" w:hAnsi="Arial" w:eastAsia="Times New Roman" w:cs="Verdana"/>
      <w:b/>
      <w:sz w:val="21"/>
      <w:lang w:eastAsia="en-US"/>
    </w:rPr>
  </w:style>
  <w:style w:type="paragraph" w:customStyle="1" w:styleId="91">
    <w:name w:val="Blockquote"/>
    <w:basedOn w:val="1"/>
    <w:qFormat/>
    <w:uiPriority w:val="0"/>
    <w:pPr>
      <w:widowControl w:val="0"/>
      <w:autoSpaceDE w:val="0"/>
      <w:autoSpaceDN w:val="0"/>
      <w:adjustRightInd w:val="0"/>
      <w:spacing w:before="100" w:after="100"/>
      <w:ind w:left="360" w:right="360"/>
    </w:pPr>
    <w:rPr>
      <w:rFonts w:ascii="Times New Roman" w:hAnsi="Times New Roman" w:eastAsia="宋体"/>
      <w:sz w:val="24"/>
    </w:rPr>
  </w:style>
  <w:style w:type="character" w:customStyle="1" w:styleId="92">
    <w:name w:val="标题4 Char Char"/>
    <w:link w:val="93"/>
    <w:qFormat/>
    <w:uiPriority w:val="0"/>
    <w:rPr>
      <w:rFonts w:ascii="Arial" w:hAnsi="Arial"/>
      <w:b/>
      <w:bCs/>
      <w:sz w:val="24"/>
      <w:szCs w:val="32"/>
    </w:rPr>
  </w:style>
  <w:style w:type="paragraph" w:customStyle="1" w:styleId="93">
    <w:name w:val="标题4"/>
    <w:basedOn w:val="3"/>
    <w:next w:val="18"/>
    <w:link w:val="92"/>
    <w:qFormat/>
    <w:uiPriority w:val="0"/>
    <w:pPr>
      <w:spacing w:line="413" w:lineRule="auto"/>
    </w:pPr>
    <w:rPr>
      <w:rFonts w:eastAsia="等线"/>
      <w:bCs/>
      <w:kern w:val="0"/>
      <w:sz w:val="24"/>
      <w:szCs w:val="32"/>
    </w:rPr>
  </w:style>
  <w:style w:type="character" w:customStyle="1" w:styleId="94">
    <w:name w:val="批注主题 Char1"/>
    <w:basedOn w:val="52"/>
    <w:qFormat/>
    <w:uiPriority w:val="0"/>
    <w:rPr>
      <w:rFonts w:cs="Times New Roman"/>
      <w:b/>
      <w:bCs/>
      <w:kern w:val="2"/>
      <w:sz w:val="24"/>
    </w:rPr>
  </w:style>
  <w:style w:type="character" w:customStyle="1" w:styleId="95">
    <w:name w:val="批注文字 Char3"/>
    <w:basedOn w:val="42"/>
    <w:qFormat/>
    <w:uiPriority w:val="0"/>
  </w:style>
  <w:style w:type="character" w:customStyle="1" w:styleId="96">
    <w:name w:val="标题 Char1"/>
    <w:basedOn w:val="42"/>
    <w:qFormat/>
    <w:uiPriority w:val="0"/>
    <w:rPr>
      <w:rFonts w:ascii="Cambria" w:hAnsi="Cambria" w:cs="Times New Roman"/>
      <w:b/>
      <w:bCs/>
      <w:sz w:val="32"/>
      <w:szCs w:val="32"/>
    </w:rPr>
  </w:style>
  <w:style w:type="character" w:customStyle="1" w:styleId="97">
    <w:name w:val="批注主题 Char2"/>
    <w:basedOn w:val="98"/>
    <w:qFormat/>
    <w:uiPriority w:val="0"/>
  </w:style>
  <w:style w:type="character" w:customStyle="1" w:styleId="98">
    <w:name w:val="批注文字 Char2"/>
    <w:basedOn w:val="42"/>
    <w:qFormat/>
    <w:uiPriority w:val="0"/>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4"/>
    <w:link w:val="99"/>
    <w:qFormat/>
    <w:uiPriority w:val="0"/>
    <w:pPr>
      <w:spacing w:line="413" w:lineRule="auto"/>
      <w:jc w:val="both"/>
    </w:pPr>
    <w:rPr>
      <w:rFonts w:ascii="Arial" w:hAnsi="Arial"/>
      <w:bCs/>
      <w:kern w:val="0"/>
      <w:sz w:val="24"/>
      <w:szCs w:val="32"/>
    </w:rPr>
  </w:style>
  <w:style w:type="character" w:customStyle="1" w:styleId="101">
    <w:name w:val="正文文本 3 Char1"/>
    <w:basedOn w:val="42"/>
    <w:qFormat/>
    <w:uiPriority w:val="0"/>
    <w:rPr>
      <w:sz w:val="16"/>
      <w:szCs w:val="16"/>
    </w:rPr>
  </w:style>
  <w:style w:type="character" w:customStyle="1" w:styleId="102">
    <w:name w:val="日期 Char1"/>
    <w:basedOn w:val="42"/>
    <w:qFormat/>
    <w:uiPriority w:val="0"/>
  </w:style>
  <w:style w:type="character" w:customStyle="1" w:styleId="103">
    <w:name w:val="副标题 Char"/>
    <w:link w:val="30"/>
    <w:qFormat/>
    <w:uiPriority w:val="0"/>
    <w:rPr>
      <w:rFonts w:ascii="Cambria" w:hAnsi="Cambria"/>
      <w:b/>
      <w:bCs/>
      <w:kern w:val="28"/>
      <w:sz w:val="32"/>
      <w:szCs w:val="32"/>
    </w:rPr>
  </w:style>
  <w:style w:type="character" w:customStyle="1" w:styleId="104">
    <w:name w:val="副标题 Char1"/>
    <w:basedOn w:val="42"/>
    <w:qFormat/>
    <w:uiPriority w:val="0"/>
    <w:rPr>
      <w:rFonts w:eastAsia="宋体" w:asciiTheme="majorHAnsi" w:hAnsiTheme="majorHAnsi" w:cstheme="majorBidi"/>
      <w:b/>
      <w:bCs/>
      <w:kern w:val="28"/>
      <w:sz w:val="32"/>
      <w:szCs w:val="32"/>
    </w:rPr>
  </w:style>
  <w:style w:type="character" w:customStyle="1" w:styleId="105">
    <w:name w:val="引用 Char"/>
    <w:link w:val="106"/>
    <w:qFormat/>
    <w:uiPriority w:val="0"/>
    <w:rPr>
      <w:i/>
      <w:iCs/>
      <w:color w:val="000000"/>
      <w:kern w:val="2"/>
      <w:sz w:val="21"/>
      <w:szCs w:val="22"/>
    </w:rPr>
  </w:style>
  <w:style w:type="paragraph" w:styleId="106">
    <w:name w:val="Quote"/>
    <w:basedOn w:val="1"/>
    <w:next w:val="1"/>
    <w:link w:val="105"/>
    <w:qFormat/>
    <w:uiPriority w:val="0"/>
    <w:pPr>
      <w:widowControl w:val="0"/>
      <w:jc w:val="both"/>
    </w:pPr>
    <w:rPr>
      <w:i/>
      <w:iCs/>
      <w:color w:val="000000"/>
      <w:kern w:val="2"/>
      <w:sz w:val="21"/>
      <w:szCs w:val="22"/>
    </w:rPr>
  </w:style>
  <w:style w:type="character" w:customStyle="1" w:styleId="107">
    <w:name w:val="引用 Char1"/>
    <w:basedOn w:val="42"/>
    <w:qFormat/>
    <w:uiPriority w:val="29"/>
    <w:rPr>
      <w:i/>
      <w:iCs/>
      <w:color w:val="000000" w:themeColor="text1"/>
      <w14:textFill>
        <w14:solidFill>
          <w14:schemeClr w14:val="tx1"/>
        </w14:solidFill>
      </w14:textFill>
    </w:rPr>
  </w:style>
  <w:style w:type="character" w:customStyle="1" w:styleId="108">
    <w:name w:val="明显引用 Char"/>
    <w:link w:val="109"/>
    <w:qFormat/>
    <w:uiPriority w:val="0"/>
    <w:rPr>
      <w:b/>
      <w:bCs/>
      <w:i/>
      <w:iCs/>
      <w:color w:val="4F81BD"/>
      <w:kern w:val="2"/>
      <w:sz w:val="21"/>
      <w:szCs w:val="22"/>
    </w:rPr>
  </w:style>
  <w:style w:type="paragraph" w:styleId="109">
    <w:name w:val="Intense Quote"/>
    <w:basedOn w:val="1"/>
    <w:next w:val="1"/>
    <w:link w:val="108"/>
    <w:qFormat/>
    <w:uiPriority w:val="0"/>
    <w:pPr>
      <w:widowControl w:val="0"/>
      <w:pBdr>
        <w:bottom w:val="single" w:color="4F81BD" w:sz="4" w:space="4"/>
      </w:pBdr>
      <w:spacing w:before="200" w:after="280"/>
      <w:ind w:left="936" w:right="936"/>
      <w:jc w:val="both"/>
    </w:pPr>
    <w:rPr>
      <w:b/>
      <w:bCs/>
      <w:i/>
      <w:iCs/>
      <w:color w:val="4F81BD"/>
      <w:kern w:val="2"/>
      <w:sz w:val="21"/>
      <w:szCs w:val="22"/>
    </w:rPr>
  </w:style>
  <w:style w:type="character" w:customStyle="1" w:styleId="110">
    <w:name w:val="明显引用 Char1"/>
    <w:basedOn w:val="42"/>
    <w:qFormat/>
    <w:uiPriority w:val="30"/>
    <w:rPr>
      <w:b/>
      <w:bCs/>
      <w:i/>
      <w:iCs/>
      <w:color w:val="4F81BD" w:themeColor="accent1"/>
      <w14:textFill>
        <w14:solidFill>
          <w14:schemeClr w14:val="accent1"/>
        </w14:solidFill>
      </w14:textFill>
    </w:rPr>
  </w:style>
  <w:style w:type="character" w:customStyle="1" w:styleId="111">
    <w:name w:val="批注主题 Char3"/>
    <w:basedOn w:val="95"/>
    <w:qFormat/>
    <w:uiPriority w:val="0"/>
    <w:rPr>
      <w:b/>
      <w:bCs/>
    </w:rPr>
  </w:style>
  <w:style w:type="character" w:customStyle="1" w:styleId="112">
    <w:name w:val="引用 Char2"/>
    <w:basedOn w:val="42"/>
    <w:qFormat/>
    <w:uiPriority w:val="29"/>
    <w:rPr>
      <w:i/>
      <w:iCs/>
      <w:color w:val="000000"/>
    </w:rPr>
  </w:style>
  <w:style w:type="character" w:customStyle="1" w:styleId="113">
    <w:name w:val="副标题 Char2"/>
    <w:basedOn w:val="42"/>
    <w:qFormat/>
    <w:uiPriority w:val="0"/>
    <w:rPr>
      <w:rFonts w:ascii="Cambria" w:hAnsi="Cambria" w:cs="Times New Roman"/>
      <w:b/>
      <w:bCs/>
      <w:kern w:val="28"/>
      <w:sz w:val="32"/>
      <w:szCs w:val="32"/>
    </w:rPr>
  </w:style>
  <w:style w:type="character" w:customStyle="1" w:styleId="114">
    <w:name w:val="正文文本 3 Char2"/>
    <w:basedOn w:val="42"/>
    <w:qFormat/>
    <w:uiPriority w:val="0"/>
    <w:rPr>
      <w:sz w:val="16"/>
      <w:szCs w:val="16"/>
    </w:rPr>
  </w:style>
  <w:style w:type="character" w:customStyle="1" w:styleId="115">
    <w:name w:val="明显引用 Char2"/>
    <w:basedOn w:val="42"/>
    <w:qFormat/>
    <w:uiPriority w:val="30"/>
    <w:rPr>
      <w:b/>
      <w:bCs/>
      <w:i/>
      <w:iCs/>
      <w:color w:val="4F81BD"/>
    </w:rPr>
  </w:style>
  <w:style w:type="character" w:customStyle="1" w:styleId="116">
    <w:name w:val="日期 Char2"/>
    <w:basedOn w:val="42"/>
    <w:qFormat/>
    <w:uiPriority w:val="0"/>
  </w:style>
  <w:style w:type="character" w:customStyle="1" w:styleId="117">
    <w:name w:val="rvts10"/>
    <w:basedOn w:val="42"/>
    <w:qFormat/>
    <w:uiPriority w:val="0"/>
    <w:rPr>
      <w:rFonts w:hint="default" w:ascii="KNLe" w:hAnsi="KNLe"/>
      <w:b/>
      <w:bCs/>
    </w:rPr>
  </w:style>
  <w:style w:type="character" w:customStyle="1" w:styleId="118">
    <w:name w:val="rvts18"/>
    <w:basedOn w:val="42"/>
    <w:qFormat/>
    <w:uiPriority w:val="0"/>
    <w:rPr>
      <w:rFonts w:hint="default" w:ascii="Times New Roman" w:hAnsi="Times New Roman" w:cs="Times New Roman"/>
      <w:b/>
      <w:bCs/>
    </w:rPr>
  </w:style>
  <w:style w:type="character" w:customStyle="1" w:styleId="119">
    <w:name w:val="rvts20"/>
    <w:basedOn w:val="42"/>
    <w:qFormat/>
    <w:uiPriority w:val="0"/>
    <w:rPr>
      <w:rFonts w:hint="default" w:ascii="Times New Roman" w:hAnsi="Times New Roman" w:cs="Times New Roman"/>
      <w:b/>
      <w:bCs/>
      <w:sz w:val="36"/>
      <w:szCs w:val="36"/>
    </w:rPr>
  </w:style>
  <w:style w:type="character" w:customStyle="1" w:styleId="120">
    <w:name w:val="rvts9"/>
    <w:basedOn w:val="42"/>
    <w:qFormat/>
    <w:uiPriority w:val="0"/>
    <w:rPr>
      <w:rFonts w:hint="default" w:ascii="KNLe" w:hAnsi="KNLe"/>
    </w:rPr>
  </w:style>
  <w:style w:type="character" w:customStyle="1" w:styleId="121">
    <w:name w:val="rvts13"/>
    <w:basedOn w:val="42"/>
    <w:qFormat/>
    <w:uiPriority w:val="0"/>
    <w:rPr>
      <w:rFonts w:hint="default" w:ascii="Times New Roman" w:hAnsi="Times New Roman" w:cs="Times New Roman"/>
    </w:rPr>
  </w:style>
  <w:style w:type="paragraph" w:customStyle="1" w:styleId="122">
    <w:name w:val="rvps1"/>
    <w:basedOn w:val="1"/>
    <w:qFormat/>
    <w:uiPriority w:val="0"/>
    <w:pPr>
      <w:jc w:val="center"/>
    </w:pPr>
    <w:rPr>
      <w:rFonts w:ascii="Times New Roman" w:hAnsi="Times New Roman" w:eastAsia="宋体"/>
      <w:sz w:val="24"/>
      <w:szCs w:val="24"/>
    </w:rPr>
  </w:style>
  <w:style w:type="paragraph" w:styleId="123">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1BE93-AA92-4F73-9253-FA6883CD100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3838</Words>
  <Characters>21877</Characters>
  <Lines>182</Lines>
  <Paragraphs>51</Paragraphs>
  <TotalTime>2</TotalTime>
  <ScaleCrop>false</ScaleCrop>
  <LinksUpToDate>false</LinksUpToDate>
  <CharactersWithSpaces>25664</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2019-06-26T07:51:00Z</dcterms:created>
  <dc:creator>微软（中国）有限公司</dc:creator>
  <cp:lastModifiedBy>luhaiyang</cp:lastModifiedBy>
  <cp:lastPrinted>2019-06-28T01:48:00Z</cp:lastPrinted>
  <dcterms:modified xsi:type="dcterms:W3CDTF">2019-07-29T15:11:53Z</dcterms:modified>
  <dc:title>工程</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