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rPr>
        <w:t>本工程位于</w:t>
      </w:r>
      <w:r>
        <w:rPr>
          <w:rFonts w:hint="eastAsia" w:asciiTheme="minorEastAsia" w:hAnsiTheme="minorEastAsia"/>
          <w:color w:val="auto"/>
          <w:sz w:val="22"/>
          <w:lang w:val="en-US" w:eastAsia="zh-CN"/>
        </w:rPr>
        <w:t>南京大学仙林校区</w:t>
      </w:r>
      <w:r>
        <w:rPr>
          <w:rFonts w:hint="eastAsia" w:asciiTheme="minorEastAsia" w:hAnsiTheme="minorEastAsia"/>
          <w:color w:val="auto"/>
          <w:sz w:val="22"/>
        </w:rPr>
        <w:t>，</w:t>
      </w:r>
      <w:r>
        <w:rPr>
          <w:rFonts w:hint="eastAsia" w:asciiTheme="minorEastAsia" w:hAnsiTheme="minorEastAsia"/>
          <w:color w:val="auto"/>
          <w:sz w:val="22"/>
          <w:lang w:val="en-US" w:eastAsia="zh-CN"/>
        </w:rPr>
        <w:t>为仙林校区气象观测站积</w:t>
      </w:r>
      <w:bookmarkStart w:id="0" w:name="_GoBack"/>
      <w:bookmarkEnd w:id="0"/>
      <w:r>
        <w:rPr>
          <w:rFonts w:hint="eastAsia" w:asciiTheme="minorEastAsia" w:hAnsiTheme="minorEastAsia"/>
          <w:color w:val="auto"/>
          <w:sz w:val="22"/>
          <w:lang w:val="en-US" w:eastAsia="zh-CN"/>
        </w:rPr>
        <w:t>学路维修。主要为破损路牙更换、石材平台及台阶面更换、人行道面包砖修补等。改造面积约为205.18m2，具体详见招标文件及工程量清单。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本次改造内容主要包括破损路牙更换、石材平台及台阶面更换、人行道面包砖修补等。</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1</w:t>
      </w:r>
      <w:r>
        <w:rPr>
          <w:rFonts w:hint="eastAsia" w:asciiTheme="minorEastAsia" w:hAnsiTheme="minorEastAsia"/>
          <w:sz w:val="22"/>
        </w:rPr>
        <w:t>、计量规范：</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④《市政工程工程量计算规范》（GB50857-2013）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⑤《园林绿化工程工程量计算规范》（</w:t>
      </w:r>
      <w:r>
        <w:rPr>
          <w:rFonts w:hint="eastAsia" w:asciiTheme="minorEastAsia" w:hAnsiTheme="minorEastAsia"/>
          <w:color w:val="auto"/>
          <w:sz w:val="22"/>
        </w:rPr>
        <w:tab/>
      </w:r>
      <w:r>
        <w:rPr>
          <w:rFonts w:hint="eastAsia" w:asciiTheme="minorEastAsia" w:hAnsiTheme="minorEastAsia"/>
          <w:color w:val="auto"/>
          <w:sz w:val="22"/>
        </w:rPr>
        <w:t>GB50858-2013）</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⑥现行相关补充或调整文件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pPr>
        <w:spacing w:line="360" w:lineRule="auto"/>
        <w:ind w:firstLine="440" w:firstLineChars="200"/>
        <w:rPr>
          <w:rFonts w:asciiTheme="minorEastAsia" w:hAnsiTheme="minorEastAsia"/>
          <w:b/>
          <w:color w:val="auto"/>
          <w:sz w:val="22"/>
        </w:rPr>
      </w:pPr>
      <w:r>
        <w:rPr>
          <w:rFonts w:hint="eastAsia" w:asciiTheme="minorEastAsia" w:hAnsiTheme="minorEastAsia"/>
          <w:color w:val="auto"/>
          <w:sz w:val="22"/>
        </w:rPr>
        <w:t>（1）暂列金额：有。</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1、通用部分</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2、土建部分</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（1）本工程砂浆按预拌砂浆考虑，砼按商品砼考虑，现场采用泵送还是非泵送由投标单位自行考虑。</w:t>
      </w:r>
    </w:p>
    <w:p>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2）石材走边基层水泥砂浆修补，基层厚度投标人结合现场综合考虑厚度，结算不予调整。</w:t>
      </w:r>
    </w:p>
    <w:p>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rPr>
        <w:t>（</w:t>
      </w:r>
      <w:r>
        <w:rPr>
          <w:rFonts w:hint="eastAsia" w:asciiTheme="minorEastAsia" w:hAnsiTheme="minorEastAsia"/>
          <w:color w:val="auto"/>
          <w:sz w:val="22"/>
          <w:lang w:val="en-US" w:eastAsia="zh-CN"/>
        </w:rPr>
        <w:t>3</w:t>
      </w:r>
      <w:r>
        <w:rPr>
          <w:rFonts w:hint="eastAsia" w:asciiTheme="minorEastAsia" w:hAnsiTheme="minorEastAsia"/>
          <w:color w:val="auto"/>
          <w:sz w:val="22"/>
        </w:rPr>
        <w:t>）本项目施工不得损坏相邻建筑部位，如有损坏，投标人负责原样修复。投标人需综合考虑报价，计入本次清单</w:t>
      </w:r>
      <w:r>
        <w:rPr>
          <w:rFonts w:hint="eastAsia" w:asciiTheme="minorEastAsia" w:hAnsiTheme="minorEastAsia"/>
          <w:color w:val="auto"/>
          <w:sz w:val="22"/>
          <w:lang w:eastAsia="zh-CN"/>
        </w:rPr>
        <w:t>。</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w:t>
      </w:r>
      <w:r>
        <w:rPr>
          <w:rFonts w:hint="eastAsia" w:asciiTheme="minorEastAsia" w:hAnsiTheme="minorEastAsia"/>
          <w:color w:val="auto"/>
          <w:sz w:val="22"/>
          <w:lang w:val="en-US" w:eastAsia="zh-CN"/>
        </w:rPr>
        <w:t>4</w:t>
      </w:r>
      <w:r>
        <w:rPr>
          <w:rFonts w:hint="eastAsia" w:asciiTheme="minorEastAsia" w:hAnsiTheme="minorEastAsia"/>
          <w:color w:val="auto"/>
          <w:sz w:val="22"/>
        </w:rPr>
        <w:t>）</w:t>
      </w:r>
      <w:r>
        <w:rPr>
          <w:rFonts w:hint="eastAsia" w:asciiTheme="minorEastAsia" w:hAnsiTheme="minorEastAsia"/>
          <w:color w:val="auto"/>
          <w:sz w:val="22"/>
          <w:lang w:val="en-US" w:eastAsia="zh-CN"/>
        </w:rPr>
        <w:t>投标人在投标报价中应充分考虑施工期间，学校的正常教学使用给投标人带来的临时停工和工效降低的影响，该情况产生的费用应由投标人综合考虑在投标报价中，结算时不再调整。</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41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序号</w:t>
            </w:r>
          </w:p>
        </w:tc>
        <w:tc>
          <w:tcPr>
            <w:tcW w:w="1843"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材料设备名称</w:t>
            </w:r>
          </w:p>
        </w:tc>
        <w:tc>
          <w:tcPr>
            <w:tcW w:w="2410"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推荐品牌（系列）</w:t>
            </w:r>
          </w:p>
        </w:tc>
        <w:tc>
          <w:tcPr>
            <w:tcW w:w="2410"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制造商名称</w:t>
            </w:r>
          </w:p>
        </w:tc>
        <w:tc>
          <w:tcPr>
            <w:tcW w:w="1184"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5" w:type="dxa"/>
          </w:tcPr>
          <w:p>
            <w:pPr>
              <w:spacing w:line="360" w:lineRule="auto"/>
              <w:jc w:val="center"/>
              <w:rPr>
                <w:rFonts w:hint="eastAsia" w:asciiTheme="minorEastAsia" w:hAnsiTheme="minorEastAsia"/>
                <w:color w:val="auto"/>
                <w:sz w:val="22"/>
                <w:lang w:val="en-US" w:eastAsia="zh-CN"/>
              </w:rPr>
            </w:pPr>
          </w:p>
          <w:p>
            <w:pPr>
              <w:spacing w:line="360" w:lineRule="auto"/>
              <w:jc w:val="center"/>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1</w:t>
            </w:r>
          </w:p>
        </w:tc>
        <w:tc>
          <w:tcPr>
            <w:tcW w:w="1843" w:type="dxa"/>
          </w:tcPr>
          <w:p>
            <w:pPr>
              <w:spacing w:line="360" w:lineRule="auto"/>
              <w:jc w:val="both"/>
              <w:rPr>
                <w:rFonts w:hint="eastAsia" w:asciiTheme="minorEastAsia" w:hAnsiTheme="minorEastAsia"/>
                <w:color w:val="auto"/>
                <w:sz w:val="22"/>
                <w:lang w:val="en-US" w:eastAsia="zh-CN"/>
              </w:rPr>
            </w:pPr>
          </w:p>
          <w:p>
            <w:pPr>
              <w:spacing w:line="360" w:lineRule="auto"/>
              <w:ind w:firstLine="440" w:firstLineChars="200"/>
              <w:jc w:val="both"/>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水泥</w:t>
            </w:r>
          </w:p>
        </w:tc>
        <w:tc>
          <w:tcPr>
            <w:tcW w:w="2410" w:type="dxa"/>
          </w:tcPr>
          <w:p>
            <w:pPr>
              <w:spacing w:line="360" w:lineRule="auto"/>
              <w:jc w:val="both"/>
              <w:rPr>
                <w:rFonts w:hint="eastAsia" w:asciiTheme="minorEastAsia" w:hAnsiTheme="minorEastAsia"/>
                <w:color w:val="auto"/>
                <w:sz w:val="22"/>
              </w:rPr>
            </w:pPr>
          </w:p>
          <w:p>
            <w:pPr>
              <w:spacing w:line="360" w:lineRule="auto"/>
              <w:jc w:val="center"/>
              <w:rPr>
                <w:rFonts w:hint="eastAsia" w:asciiTheme="minorEastAsia" w:hAnsiTheme="minorEastAsia" w:eastAsiaTheme="minorEastAsia"/>
                <w:color w:val="auto"/>
                <w:sz w:val="22"/>
                <w:lang w:eastAsia="zh-CN"/>
              </w:rPr>
            </w:pPr>
            <w:r>
              <w:rPr>
                <w:rFonts w:hint="eastAsia" w:asciiTheme="minorEastAsia" w:hAnsiTheme="minorEastAsia"/>
                <w:color w:val="auto"/>
                <w:sz w:val="22"/>
              </w:rPr>
              <w:t>海螺</w:t>
            </w:r>
            <w:r>
              <w:rPr>
                <w:rFonts w:hint="eastAsia" w:asciiTheme="minorEastAsia" w:hAnsiTheme="minorEastAsia"/>
                <w:color w:val="auto"/>
                <w:sz w:val="22"/>
                <w:lang w:eastAsia="zh-CN"/>
              </w:rPr>
              <w:t>、鹤林、中联</w:t>
            </w:r>
          </w:p>
        </w:tc>
        <w:tc>
          <w:tcPr>
            <w:tcW w:w="2410" w:type="dxa"/>
          </w:tcPr>
          <w:p>
            <w:pPr>
              <w:spacing w:line="360" w:lineRule="auto"/>
              <w:rPr>
                <w:rFonts w:hint="eastAsia" w:asciiTheme="minorEastAsia" w:hAnsiTheme="minorEastAsia"/>
                <w:color w:val="auto"/>
                <w:sz w:val="18"/>
                <w:szCs w:val="18"/>
                <w:lang w:eastAsia="zh-CN"/>
              </w:rPr>
            </w:pPr>
            <w:r>
              <w:rPr>
                <w:rFonts w:hint="eastAsia" w:asciiTheme="minorEastAsia" w:hAnsiTheme="minorEastAsia"/>
                <w:color w:val="auto"/>
                <w:sz w:val="18"/>
                <w:szCs w:val="18"/>
                <w:lang w:eastAsia="zh-CN"/>
              </w:rPr>
              <w:t>安徽海螺水泥股份有限公司、江苏鹤林水泥有限公司、</w:t>
            </w:r>
          </w:p>
          <w:p>
            <w:pPr>
              <w:spacing w:line="360" w:lineRule="auto"/>
              <w:rPr>
                <w:rFonts w:hint="eastAsia" w:asciiTheme="minorEastAsia" w:hAnsiTheme="minorEastAsia"/>
                <w:color w:val="auto"/>
                <w:sz w:val="18"/>
                <w:szCs w:val="18"/>
                <w:lang w:eastAsia="zh-CN"/>
              </w:rPr>
            </w:pPr>
            <w:r>
              <w:rPr>
                <w:rFonts w:hint="eastAsia" w:asciiTheme="minorEastAsia" w:hAnsiTheme="minorEastAsia"/>
                <w:color w:val="auto"/>
                <w:sz w:val="18"/>
                <w:szCs w:val="18"/>
                <w:lang w:eastAsia="zh-CN"/>
              </w:rPr>
              <w:t>中国联合水泥集团有限公司</w:t>
            </w:r>
          </w:p>
        </w:tc>
        <w:tc>
          <w:tcPr>
            <w:tcW w:w="1184" w:type="dxa"/>
          </w:tcPr>
          <w:p>
            <w:pPr>
              <w:spacing w:line="360" w:lineRule="auto"/>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5" w:type="dxa"/>
          </w:tcPr>
          <w:p>
            <w:pPr>
              <w:spacing w:line="360" w:lineRule="auto"/>
              <w:jc w:val="center"/>
              <w:rPr>
                <w:rFonts w:hint="eastAsia" w:asciiTheme="minorEastAsia" w:hAnsiTheme="minorEastAsia"/>
                <w:color w:val="auto"/>
                <w:sz w:val="22"/>
                <w:lang w:val="en-US" w:eastAsia="zh-CN"/>
              </w:rPr>
            </w:pPr>
          </w:p>
          <w:p>
            <w:pPr>
              <w:spacing w:line="360" w:lineRule="auto"/>
              <w:jc w:val="center"/>
              <w:rPr>
                <w:rFonts w:hint="default" w:asciiTheme="minorEastAsia" w:hAnsiTheme="minorEastAsia"/>
                <w:color w:val="auto"/>
                <w:sz w:val="22"/>
                <w:lang w:val="en-US" w:eastAsia="zh-CN"/>
              </w:rPr>
            </w:pPr>
            <w:r>
              <w:rPr>
                <w:rFonts w:hint="eastAsia" w:asciiTheme="minorEastAsia" w:hAnsiTheme="minorEastAsia"/>
                <w:color w:val="auto"/>
                <w:sz w:val="22"/>
                <w:lang w:val="en-US" w:eastAsia="zh-CN"/>
              </w:rPr>
              <w:t>2</w:t>
            </w:r>
          </w:p>
        </w:tc>
        <w:tc>
          <w:tcPr>
            <w:tcW w:w="1843" w:type="dxa"/>
            <w:vAlign w:val="top"/>
          </w:tcPr>
          <w:p>
            <w:pPr>
              <w:spacing w:line="360" w:lineRule="auto"/>
              <w:ind w:firstLine="440" w:firstLineChars="200"/>
              <w:jc w:val="both"/>
              <w:rPr>
                <w:rFonts w:hint="eastAsia" w:asciiTheme="minorEastAsia" w:hAnsiTheme="minorEastAsia"/>
                <w:color w:val="auto"/>
                <w:sz w:val="22"/>
                <w:lang w:val="en-US" w:eastAsia="zh-CN"/>
              </w:rPr>
            </w:pPr>
          </w:p>
          <w:p>
            <w:pPr>
              <w:spacing w:line="360" w:lineRule="auto"/>
              <w:ind w:firstLine="440" w:firstLineChars="200"/>
              <w:jc w:val="both"/>
              <w:rPr>
                <w:rFonts w:hint="eastAsia" w:asciiTheme="minorEastAsia" w:hAnsiTheme="minorEastAsia" w:eastAsiaTheme="minorEastAsia" w:cstheme="minorBidi"/>
                <w:color w:val="auto"/>
                <w:kern w:val="2"/>
                <w:sz w:val="22"/>
                <w:szCs w:val="22"/>
                <w:lang w:val="en-US" w:eastAsia="zh-CN" w:bidi="ar-SA"/>
              </w:rPr>
            </w:pPr>
            <w:r>
              <w:rPr>
                <w:rFonts w:hint="eastAsia" w:asciiTheme="minorEastAsia" w:hAnsiTheme="minorEastAsia"/>
                <w:color w:val="auto"/>
                <w:sz w:val="22"/>
                <w:lang w:val="en-US" w:eastAsia="zh-CN"/>
              </w:rPr>
              <w:t>钢筋</w:t>
            </w:r>
          </w:p>
        </w:tc>
        <w:tc>
          <w:tcPr>
            <w:tcW w:w="2410" w:type="dxa"/>
            <w:vAlign w:val="top"/>
          </w:tcPr>
          <w:p>
            <w:pPr>
              <w:spacing w:line="360" w:lineRule="auto"/>
              <w:jc w:val="both"/>
              <w:rPr>
                <w:rFonts w:hint="eastAsia" w:asciiTheme="minorEastAsia" w:hAnsiTheme="minorEastAsia"/>
                <w:color w:val="auto"/>
                <w:sz w:val="22"/>
              </w:rPr>
            </w:pPr>
          </w:p>
          <w:p>
            <w:pPr>
              <w:spacing w:line="360" w:lineRule="auto"/>
              <w:jc w:val="both"/>
              <w:rPr>
                <w:rFonts w:hint="eastAsia" w:asciiTheme="minorEastAsia" w:hAnsiTheme="minorEastAsia" w:eastAsiaTheme="minorEastAsia" w:cstheme="minorBidi"/>
                <w:color w:val="auto"/>
                <w:kern w:val="2"/>
                <w:sz w:val="22"/>
                <w:szCs w:val="22"/>
                <w:lang w:val="en-US" w:eastAsia="zh-CN" w:bidi="ar-SA"/>
              </w:rPr>
            </w:pPr>
            <w:r>
              <w:rPr>
                <w:rFonts w:hint="eastAsia" w:asciiTheme="minorEastAsia" w:hAnsiTheme="minorEastAsia"/>
                <w:color w:val="auto"/>
                <w:sz w:val="22"/>
              </w:rPr>
              <w:t>马钢</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沙钢、南钢</w:t>
            </w:r>
          </w:p>
        </w:tc>
        <w:tc>
          <w:tcPr>
            <w:tcW w:w="2410" w:type="dxa"/>
            <w:vAlign w:val="top"/>
          </w:tcPr>
          <w:p>
            <w:pPr>
              <w:spacing w:line="360" w:lineRule="auto"/>
              <w:rPr>
                <w:rFonts w:hint="eastAsia" w:asciiTheme="minorEastAsia" w:hAnsiTheme="minorEastAsia"/>
                <w:color w:val="auto"/>
                <w:sz w:val="18"/>
                <w:szCs w:val="18"/>
                <w:lang w:eastAsia="zh-CN"/>
              </w:rPr>
            </w:pPr>
            <w:r>
              <w:rPr>
                <w:rFonts w:hint="eastAsia" w:asciiTheme="minorEastAsia" w:hAnsiTheme="minorEastAsia"/>
                <w:color w:val="auto"/>
                <w:sz w:val="18"/>
                <w:szCs w:val="18"/>
              </w:rPr>
              <w:t>马鞍山钢铁股份有限公司</w:t>
            </w:r>
            <w:r>
              <w:rPr>
                <w:rFonts w:hint="eastAsia" w:asciiTheme="minorEastAsia" w:hAnsiTheme="minorEastAsia"/>
                <w:color w:val="auto"/>
                <w:sz w:val="18"/>
                <w:szCs w:val="18"/>
                <w:lang w:eastAsia="zh-CN"/>
              </w:rPr>
              <w:t>、江苏沙钢集团有限公司、</w:t>
            </w:r>
          </w:p>
          <w:p>
            <w:pPr>
              <w:spacing w:line="360" w:lineRule="auto"/>
              <w:rPr>
                <w:rFonts w:hint="eastAsia" w:asciiTheme="minorEastAsia" w:hAnsiTheme="minorEastAsia" w:eastAsiaTheme="minorEastAsia" w:cstheme="minorBidi"/>
                <w:color w:val="auto"/>
                <w:kern w:val="2"/>
                <w:sz w:val="18"/>
                <w:szCs w:val="18"/>
                <w:lang w:val="en-US" w:eastAsia="zh-CN" w:bidi="ar-SA"/>
              </w:rPr>
            </w:pPr>
            <w:r>
              <w:rPr>
                <w:rFonts w:hint="eastAsia" w:asciiTheme="minorEastAsia" w:hAnsiTheme="minorEastAsia"/>
                <w:color w:val="auto"/>
                <w:sz w:val="18"/>
                <w:szCs w:val="18"/>
                <w:lang w:eastAsia="zh-CN"/>
              </w:rPr>
              <w:t>南京钢铁股份有限公司</w:t>
            </w:r>
          </w:p>
        </w:tc>
        <w:tc>
          <w:tcPr>
            <w:tcW w:w="1184" w:type="dxa"/>
          </w:tcPr>
          <w:p>
            <w:pPr>
              <w:spacing w:line="360" w:lineRule="auto"/>
              <w:rPr>
                <w:rFonts w:asciiTheme="minorEastAsia" w:hAnsiTheme="minorEastAsia"/>
                <w:color w:val="FF0000"/>
                <w:sz w:val="22"/>
              </w:rPr>
            </w:pPr>
          </w:p>
        </w:tc>
      </w:tr>
    </w:tbl>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M1OGI5MGIwNzQ2MmYyNzQyMDBlZWU2OWZi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24535A0"/>
    <w:rsid w:val="08A41020"/>
    <w:rsid w:val="0DB65122"/>
    <w:rsid w:val="142B510D"/>
    <w:rsid w:val="25150C86"/>
    <w:rsid w:val="3AD177E5"/>
    <w:rsid w:val="49A7121D"/>
    <w:rsid w:val="73F21573"/>
    <w:rsid w:val="7BBF46F2"/>
    <w:rsid w:val="7D4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customStyle="1" w:styleId="11">
    <w:name w:val="List Paragraph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2333</Words>
  <Characters>2436</Characters>
  <Lines>19</Lines>
  <Paragraphs>5</Paragraphs>
  <TotalTime>0</TotalTime>
  <ScaleCrop>false</ScaleCrop>
  <LinksUpToDate>false</LinksUpToDate>
  <CharactersWithSpaces>2438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旧城以西</cp:lastModifiedBy>
  <dcterms:modified xsi:type="dcterms:W3CDTF">2024-06-21T07:27:15Z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49C06F81FCB543C1879DC83357FE5948_12</vt:lpwstr>
  </property>
</Properties>
</file>