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spacing w:line="360" w:lineRule="auto"/>
        <w:ind w:firstLine="440" w:firstLineChars="200"/>
        <w:rPr>
          <w:rFonts w:asciiTheme="minorEastAsia" w:hAnsiTheme="minorEastAsia"/>
          <w:color w:val="FF0000"/>
          <w:sz w:val="22"/>
          <w:highlight w:val="none"/>
        </w:rPr>
      </w:pPr>
      <w:r>
        <w:rPr>
          <w:rFonts w:hint="eastAsia"/>
          <w:color w:val="FF0000"/>
          <w:sz w:val="22"/>
          <w:highlight w:val="none"/>
        </w:rPr>
        <w:t>本项目为南京大学鼓楼校区</w:t>
      </w:r>
      <w:r>
        <w:rPr>
          <w:rFonts w:hint="eastAsia"/>
          <w:color w:val="FF0000"/>
          <w:sz w:val="22"/>
          <w:highlight w:val="none"/>
          <w:lang w:val="en-US" w:eastAsia="zh-CN"/>
        </w:rPr>
        <w:t>知行楼室外道路</w:t>
      </w:r>
      <w:r>
        <w:rPr>
          <w:rFonts w:hint="eastAsia"/>
          <w:color w:val="FF0000"/>
          <w:sz w:val="22"/>
          <w:highlight w:val="none"/>
          <w:lang w:eastAsia="zh-CN"/>
        </w:rPr>
        <w:t>，</w:t>
      </w:r>
      <w:r>
        <w:rPr>
          <w:rFonts w:hint="eastAsia"/>
          <w:color w:val="FF0000"/>
          <w:sz w:val="22"/>
          <w:highlight w:val="none"/>
          <w:lang w:val="en-US" w:eastAsia="zh-CN"/>
        </w:rPr>
        <w:t>多年来多次修补造成沥青路面整体平整度差，路面色差严重，本项目为对沥青道路进行拆除新做</w:t>
      </w:r>
      <w:r>
        <w:rPr>
          <w:rFonts w:hint="eastAsia" w:asciiTheme="minorEastAsia" w:hAnsiTheme="minorEastAsia"/>
          <w:color w:val="FF0000"/>
          <w:sz w:val="22"/>
          <w:highlight w:val="none"/>
        </w:rPr>
        <w:t>。</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440" w:firstLineChars="200"/>
        <w:rPr>
          <w:rFonts w:asciiTheme="minorEastAsia" w:hAnsiTheme="minorEastAsia"/>
          <w:b/>
          <w:i/>
          <w:color w:val="FF0000"/>
          <w:sz w:val="22"/>
          <w:highlight w:val="none"/>
          <w:u w:val="single"/>
        </w:rPr>
      </w:pPr>
      <w:r>
        <w:rPr>
          <w:rFonts w:hint="eastAsia" w:asciiTheme="minorEastAsia" w:hAnsiTheme="minorEastAsia"/>
          <w:color w:val="FF0000"/>
          <w:sz w:val="22"/>
          <w:highlight w:val="none"/>
        </w:rPr>
        <w:t>本次改造内容主要包括</w:t>
      </w:r>
      <w:r>
        <w:rPr>
          <w:rFonts w:hint="eastAsia" w:asciiTheme="minorEastAsia" w:hAnsiTheme="minorEastAsia"/>
          <w:color w:val="FF0000"/>
          <w:sz w:val="22"/>
          <w:highlight w:val="none"/>
          <w:lang w:val="en-US" w:eastAsia="zh-CN"/>
        </w:rPr>
        <w:t>道路基层、沥青道路面层</w:t>
      </w:r>
      <w:r>
        <w:rPr>
          <w:rFonts w:hint="eastAsia" w:asciiTheme="minorEastAsia" w:hAnsiTheme="minorEastAsia"/>
          <w:color w:val="FF0000"/>
          <w:sz w:val="22"/>
          <w:highlight w:val="none"/>
        </w:rPr>
        <w:t>拆除、</w:t>
      </w:r>
      <w:r>
        <w:rPr>
          <w:rFonts w:hint="eastAsia" w:asciiTheme="minorEastAsia" w:hAnsiTheme="minorEastAsia"/>
          <w:color w:val="FF0000"/>
          <w:sz w:val="22"/>
          <w:highlight w:val="none"/>
          <w:lang w:val="en-US" w:eastAsia="zh-CN"/>
        </w:rPr>
        <w:t>新作道路基层、沥青道路面层</w:t>
      </w:r>
      <w:r>
        <w:rPr>
          <w:rFonts w:hint="eastAsia" w:asciiTheme="minorEastAsia" w:hAnsiTheme="minorEastAsia"/>
          <w:color w:val="FF0000"/>
          <w:sz w:val="22"/>
          <w:highlight w:val="none"/>
        </w:rPr>
        <w:t>。</w:t>
      </w:r>
    </w:p>
    <w:p>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pPr>
        <w:spacing w:line="360" w:lineRule="auto"/>
        <w:ind w:firstLine="440" w:firstLineChars="200"/>
        <w:rPr>
          <w:rFonts w:asciiTheme="minorEastAsia" w:hAnsiTheme="minorEastAsia"/>
          <w:color w:val="FF0000"/>
          <w:sz w:val="22"/>
        </w:rPr>
      </w:pPr>
      <w:r>
        <w:rPr>
          <w:rFonts w:hint="eastAsia" w:asciiTheme="minorEastAsia" w:hAnsiTheme="minorEastAsia"/>
          <w:sz w:val="22"/>
        </w:rPr>
        <w:t>1、</w:t>
      </w:r>
      <w:r>
        <w:rPr>
          <w:rFonts w:hint="eastAsia"/>
          <w:color w:val="FF0000"/>
          <w:sz w:val="22"/>
          <w:lang w:val="en-US" w:eastAsia="zh-CN"/>
        </w:rPr>
        <w:t>南京大学2024</w:t>
      </w:r>
      <w:r>
        <w:rPr>
          <w:rFonts w:hint="eastAsia"/>
          <w:color w:val="FF0000"/>
          <w:sz w:val="22"/>
        </w:rPr>
        <w:t>年</w:t>
      </w:r>
      <w:r>
        <w:rPr>
          <w:rFonts w:hint="eastAsia"/>
          <w:color w:val="FF0000"/>
          <w:sz w:val="22"/>
          <w:lang w:val="en-US" w:eastAsia="zh-CN"/>
        </w:rPr>
        <w:t>03</w:t>
      </w:r>
      <w:r>
        <w:rPr>
          <w:rFonts w:hint="eastAsia"/>
          <w:color w:val="FF0000"/>
          <w:sz w:val="22"/>
        </w:rPr>
        <w:t>月</w:t>
      </w:r>
      <w:r>
        <w:rPr>
          <w:rFonts w:hint="eastAsia"/>
          <w:color w:val="FF0000"/>
          <w:sz w:val="22"/>
          <w:lang w:val="en-US" w:eastAsia="zh-CN"/>
        </w:rPr>
        <w:t>01</w:t>
      </w:r>
      <w:r>
        <w:rPr>
          <w:rFonts w:hint="eastAsia"/>
          <w:color w:val="FF0000"/>
          <w:sz w:val="22"/>
        </w:rPr>
        <w:t>日</w:t>
      </w:r>
      <w:r>
        <w:rPr>
          <w:rFonts w:hint="eastAsia"/>
          <w:color w:val="auto"/>
          <w:sz w:val="22"/>
          <w:lang w:val="en-US" w:eastAsia="zh-CN"/>
        </w:rPr>
        <w:t>提供的</w:t>
      </w:r>
      <w:r>
        <w:rPr>
          <w:rFonts w:hint="eastAsia" w:asciiTheme="minorEastAsia" w:hAnsiTheme="minorEastAsia"/>
          <w:sz w:val="22"/>
          <w:lang w:val="en-US" w:eastAsia="zh-CN"/>
        </w:rPr>
        <w:t>工程量清单及面积出新图纸</w:t>
      </w:r>
      <w:r>
        <w:rPr>
          <w:rFonts w:hint="eastAsia" w:asciiTheme="minorEastAsia" w:hAnsiTheme="minorEastAsia"/>
          <w:sz w:val="22"/>
        </w:rPr>
        <w:t>。</w:t>
      </w:r>
    </w:p>
    <w:p>
      <w:pPr>
        <w:spacing w:line="360" w:lineRule="auto"/>
        <w:ind w:firstLine="440" w:firstLineChars="200"/>
        <w:rPr>
          <w:rFonts w:asciiTheme="minorEastAsia" w:hAnsiTheme="minorEastAsia"/>
          <w:b/>
          <w:color w:val="FF0000"/>
          <w:sz w:val="22"/>
        </w:rPr>
      </w:pPr>
      <w:r>
        <w:rPr>
          <w:rFonts w:hint="eastAsia" w:asciiTheme="minorEastAsia" w:hAnsiTheme="minorEastAsia"/>
          <w:sz w:val="22"/>
          <w:lang w:val="en-US" w:eastAsia="zh-CN"/>
        </w:rPr>
        <w:t>2</w:t>
      </w:r>
      <w:r>
        <w:rPr>
          <w:rFonts w:hint="eastAsia" w:asciiTheme="minorEastAsia" w:hAnsiTheme="minorEastAsia"/>
          <w:sz w:val="22"/>
        </w:rPr>
        <w:t>、计量规范：</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①《建设工程工程量清单计价规范》（GB50500-2013）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②《房屋建筑与装饰工程工程量计算规范》（GB50854-2013）</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③《</w:t>
      </w:r>
      <w:r>
        <w:rPr>
          <w:rFonts w:hint="eastAsia" w:asciiTheme="minorEastAsia" w:hAnsiTheme="minorEastAsia"/>
          <w:color w:val="00B0F0"/>
          <w:sz w:val="22"/>
          <w:lang w:eastAsia="zh-CN"/>
        </w:rPr>
        <w:t>市政工程</w:t>
      </w:r>
      <w:r>
        <w:rPr>
          <w:rFonts w:hint="eastAsia" w:asciiTheme="minorEastAsia" w:hAnsiTheme="minorEastAsia"/>
          <w:color w:val="00B0F0"/>
          <w:sz w:val="22"/>
        </w:rPr>
        <w:t>工程量计算规范》（GB50</w:t>
      </w:r>
      <w:r>
        <w:rPr>
          <w:rFonts w:hint="eastAsia" w:asciiTheme="minorEastAsia" w:hAnsiTheme="minorEastAsia"/>
          <w:color w:val="00B0F0"/>
          <w:sz w:val="22"/>
          <w:lang w:val="en-US" w:eastAsia="zh-CN"/>
        </w:rPr>
        <w:t>857</w:t>
      </w:r>
      <w:r>
        <w:rPr>
          <w:rFonts w:hint="eastAsia" w:asciiTheme="minorEastAsia" w:hAnsiTheme="minorEastAsia"/>
          <w:color w:val="00B0F0"/>
          <w:sz w:val="22"/>
        </w:rPr>
        <w:t>-2013）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lang w:val="en-US" w:eastAsia="zh-CN"/>
        </w:rPr>
        <w:t>④</w:t>
      </w:r>
      <w:r>
        <w:rPr>
          <w:rFonts w:hint="eastAsia" w:asciiTheme="minorEastAsia" w:hAnsiTheme="minorEastAsia"/>
          <w:color w:val="00B0F0"/>
          <w:sz w:val="22"/>
        </w:rPr>
        <w:t>现行相关补充或调整文件</w:t>
      </w:r>
    </w:p>
    <w:p>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3</w:t>
      </w:r>
      <w:r>
        <w:rPr>
          <w:rFonts w:hint="eastAsia" w:asciiTheme="minorEastAsia" w:hAnsiTheme="minorEastAsia"/>
          <w:sz w:val="22"/>
        </w:rPr>
        <w:t>、与本工程项目有关的标准、施工规范与验收规范。</w:t>
      </w:r>
    </w:p>
    <w:p>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2、《省住房城乡建设厅关于建筑业增值税计价政策调整的通知》苏建函价（2019）178号文。</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3、安全文明施工措施费计取基本费和扬尘污染防治增加费。</w:t>
      </w:r>
    </w:p>
    <w:p>
      <w:pPr>
        <w:spacing w:line="360" w:lineRule="auto"/>
        <w:ind w:firstLine="440" w:firstLineChars="200"/>
        <w:rPr>
          <w:rFonts w:asciiTheme="minorEastAsia" w:hAnsiTheme="minorEastAsia"/>
          <w:color w:val="00B0F0"/>
          <w:sz w:val="22"/>
          <w:highlight w:val="none"/>
        </w:rPr>
      </w:pPr>
      <w:r>
        <w:rPr>
          <w:rFonts w:hint="eastAsia" w:asciiTheme="minorEastAsia" w:hAnsiTheme="minorEastAsia"/>
          <w:color w:val="00B0F0"/>
          <w:sz w:val="22"/>
        </w:rPr>
        <w:t>4、</w:t>
      </w:r>
      <w:r>
        <w:rPr>
          <w:rFonts w:hint="eastAsia" w:asciiTheme="minorEastAsia" w:hAnsiTheme="minorEastAsia"/>
          <w:color w:val="00B0F0"/>
          <w:sz w:val="22"/>
          <w:highlight w:val="none"/>
        </w:rPr>
        <w:t>《省住房城乡建设厅关于建筑工人实名制费用计取方法的公告》〔2019〕第19号</w:t>
      </w:r>
    </w:p>
    <w:p>
      <w:pPr>
        <w:spacing w:line="360" w:lineRule="auto"/>
        <w:ind w:firstLine="440" w:firstLineChars="200"/>
        <w:rPr>
          <w:rFonts w:asciiTheme="minorEastAsia" w:hAnsiTheme="minorEastAsia"/>
          <w:color w:val="00B0F0"/>
          <w:sz w:val="22"/>
          <w:highlight w:val="none"/>
        </w:rPr>
      </w:pPr>
      <w:r>
        <w:rPr>
          <w:rFonts w:hint="eastAsia" w:asciiTheme="minorEastAsia" w:hAnsiTheme="minorEastAsia"/>
          <w:color w:val="00B0F0"/>
          <w:sz w:val="22"/>
          <w:highlight w:val="none"/>
        </w:rPr>
        <w:t>5、依据《建设工程计价设备材料划分标准》（GB/T50531-2009）划分的设备以设备形式计入且不计取总价措施费及规费。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6、政策性文件及报价参考执行投标截止日前省市建委造价有关文件，投标截止日后的省市建委造价文件不予执行。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7、人工工资参考江苏省建设工程人工工资指导价自主报价，其它费用按照省市建委发布的有关文件及政策规定等执行，报价参考执行投标截止日前省建设厅、市建委造价有关文件。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8、暂列金额及暂估价：</w:t>
      </w:r>
    </w:p>
    <w:p>
      <w:pPr>
        <w:spacing w:line="360" w:lineRule="auto"/>
        <w:ind w:firstLine="440" w:firstLineChars="200"/>
        <w:rPr>
          <w:rFonts w:hint="default" w:asciiTheme="minorEastAsia" w:hAnsiTheme="minorEastAsia"/>
          <w:color w:val="FF0000"/>
          <w:sz w:val="22"/>
          <w:lang w:val="en-US" w:eastAsia="zh-CN"/>
        </w:rPr>
      </w:pPr>
      <w:r>
        <w:rPr>
          <w:rFonts w:hint="eastAsia" w:asciiTheme="minorEastAsia" w:hAnsiTheme="minorEastAsia"/>
          <w:color w:val="00B0F0"/>
          <w:sz w:val="22"/>
        </w:rPr>
        <w:t>（1）暂列金额：</w:t>
      </w:r>
      <w:r>
        <w:rPr>
          <w:rFonts w:hint="eastAsia" w:asciiTheme="minorEastAsia" w:hAnsiTheme="minorEastAsia"/>
          <w:color w:val="FF0000"/>
          <w:sz w:val="22"/>
          <w:highlight w:val="none"/>
          <w:lang w:val="en-US" w:eastAsia="zh-CN"/>
        </w:rPr>
        <w:t>10226.79</w:t>
      </w:r>
      <w:bookmarkStart w:id="0" w:name="_GoBack"/>
      <w:bookmarkEnd w:id="0"/>
      <w:r>
        <w:rPr>
          <w:rFonts w:hint="eastAsia" w:asciiTheme="minorEastAsia" w:hAnsiTheme="minorEastAsia"/>
          <w:color w:val="FF0000"/>
          <w:sz w:val="22"/>
          <w:lang w:val="en-US" w:eastAsia="zh-CN"/>
        </w:rPr>
        <w:t>元</w:t>
      </w:r>
    </w:p>
    <w:p>
      <w:pPr>
        <w:spacing w:line="360" w:lineRule="auto"/>
        <w:ind w:firstLine="440" w:firstLineChars="200"/>
        <w:rPr>
          <w:rFonts w:hint="eastAsia" w:asciiTheme="minorEastAsia" w:hAnsiTheme="minorEastAsia" w:eastAsiaTheme="minorEastAsia"/>
          <w:color w:val="00B0F0"/>
          <w:sz w:val="22"/>
          <w:lang w:val="en-US" w:eastAsia="zh-CN"/>
        </w:rPr>
      </w:pPr>
      <w:r>
        <w:rPr>
          <w:rFonts w:hint="eastAsia" w:asciiTheme="minorEastAsia" w:hAnsiTheme="minorEastAsia"/>
          <w:color w:val="00B0F0"/>
          <w:sz w:val="22"/>
        </w:rPr>
        <w:t>（2）暂估价：</w:t>
      </w:r>
      <w:r>
        <w:rPr>
          <w:rFonts w:hint="eastAsia" w:asciiTheme="minorEastAsia" w:hAnsiTheme="minorEastAsia"/>
          <w:color w:val="FF0000"/>
          <w:sz w:val="22"/>
          <w:lang w:val="en-US" w:eastAsia="zh-CN"/>
        </w:rPr>
        <w:t>无</w:t>
      </w:r>
    </w:p>
    <w:p>
      <w:pPr>
        <w:spacing w:line="360" w:lineRule="auto"/>
        <w:ind w:firstLine="442" w:firstLineChars="200"/>
        <w:rPr>
          <w:rFonts w:asciiTheme="minorEastAsia" w:hAnsiTheme="minorEastAsia"/>
          <w:sz w:val="22"/>
        </w:rPr>
      </w:pPr>
      <w:r>
        <w:rPr>
          <w:rFonts w:hint="eastAsia" w:asciiTheme="minorEastAsia" w:hAnsiTheme="minorEastAsia"/>
          <w:b/>
          <w:sz w:val="22"/>
        </w:rPr>
        <w:t>五、图纸及工程量计算中的相关说明</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1、通用部分</w:t>
      </w:r>
    </w:p>
    <w:p>
      <w:pPr>
        <w:spacing w:line="360" w:lineRule="auto"/>
        <w:ind w:firstLine="440" w:firstLineChars="200"/>
        <w:rPr>
          <w:rFonts w:asciiTheme="minorEastAsia" w:hAnsiTheme="minorEastAsia"/>
          <w:color w:val="00B0F0"/>
          <w:sz w:val="22"/>
          <w:highlight w:val="none"/>
        </w:rPr>
      </w:pPr>
      <w:r>
        <w:rPr>
          <w:rFonts w:hint="eastAsia" w:asciiTheme="minorEastAsia" w:hAnsiTheme="minorEastAsia"/>
          <w:color w:val="00B0F0"/>
          <w:sz w:val="22"/>
          <w:highlight w:val="none"/>
        </w:rPr>
        <w:t>（1）工程量清单应与招标文件结合起来查阅与理解。工程量清单中所描述的项目特征仅为招标人对该分部分项目工程特征的概述，而非是工程特征的全面描述，报价时必须按设计图纸及相关的国家规范的要求。</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2</w:t>
      </w:r>
      <w:r>
        <w:rPr>
          <w:rFonts w:hint="eastAsia"/>
          <w:color w:val="00B0F0"/>
          <w:sz w:val="22"/>
          <w:lang w:eastAsia="zh-CN"/>
        </w:rPr>
        <w:t>）</w:t>
      </w:r>
      <w:r>
        <w:rPr>
          <w:rFonts w:hint="eastAsia"/>
          <w:color w:val="00B0F0"/>
          <w:sz w:val="22"/>
        </w:rPr>
        <w:t>本工程所用砂浆皆为预拌砂浆，现场是否使用干拌或湿拌砂浆由投标人自行考虑，结算时不调整。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3</w:t>
      </w:r>
      <w:r>
        <w:rPr>
          <w:rFonts w:hint="eastAsia"/>
          <w:color w:val="00B0F0"/>
          <w:sz w:val="22"/>
          <w:lang w:eastAsia="zh-CN"/>
        </w:rPr>
        <w:t>）</w:t>
      </w:r>
      <w:r>
        <w:rPr>
          <w:rFonts w:hint="eastAsia"/>
          <w:color w:val="00B0F0"/>
          <w:sz w:val="22"/>
        </w:rPr>
        <w:t>大型机械进出场费用投标人综合考虑，结算时不再调整。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4</w:t>
      </w:r>
      <w:r>
        <w:rPr>
          <w:rFonts w:hint="eastAsia"/>
          <w:color w:val="00B0F0"/>
          <w:sz w:val="22"/>
          <w:lang w:eastAsia="zh-CN"/>
        </w:rPr>
        <w:t>）</w:t>
      </w:r>
      <w:r>
        <w:rPr>
          <w:rFonts w:hint="eastAsia"/>
          <w:color w:val="00B0F0"/>
          <w:sz w:val="22"/>
        </w:rPr>
        <w:t>投标人在投标报价时结合现场实际情况考虑夜间施工及围挡防护安全，结算时不再调整。</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5</w:t>
      </w:r>
      <w:r>
        <w:rPr>
          <w:rFonts w:hint="eastAsia"/>
          <w:color w:val="00B0F0"/>
          <w:sz w:val="22"/>
          <w:lang w:eastAsia="zh-CN"/>
        </w:rPr>
        <w:t>）</w:t>
      </w:r>
      <w:r>
        <w:rPr>
          <w:rFonts w:hint="eastAsia"/>
          <w:color w:val="00B0F0"/>
          <w:sz w:val="22"/>
          <w:lang w:val="zh-CN"/>
        </w:rPr>
        <w:t>措施费项目投标单位可自行增添内容，自行报价，未计放部分按优惠考虑，结算时不再调整，投标人在报价中应充分考虑所涉及的各项措施费及风险因素后再进行报价，</w:t>
      </w:r>
      <w:r>
        <w:rPr>
          <w:rFonts w:hint="eastAsia"/>
          <w:color w:val="00B0F0"/>
          <w:sz w:val="22"/>
        </w:rPr>
        <w:t>不可竞争费按规定报价。</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6</w:t>
      </w:r>
      <w:r>
        <w:rPr>
          <w:rFonts w:hint="eastAsia"/>
          <w:color w:val="00B0F0"/>
          <w:sz w:val="22"/>
          <w:lang w:eastAsia="zh-CN"/>
        </w:rPr>
        <w:t>）</w:t>
      </w:r>
      <w:r>
        <w:rPr>
          <w:rFonts w:hint="eastAsia"/>
          <w:color w:val="00B0F0"/>
          <w:sz w:val="22"/>
          <w:lang w:val="zh-CN"/>
        </w:rPr>
        <w:t>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7</w:t>
      </w:r>
      <w:r>
        <w:rPr>
          <w:rFonts w:hint="eastAsia"/>
          <w:color w:val="00B0F0"/>
          <w:sz w:val="22"/>
          <w:lang w:eastAsia="zh-CN"/>
        </w:rPr>
        <w:t>）</w:t>
      </w:r>
      <w:r>
        <w:rPr>
          <w:rFonts w:hint="eastAsia"/>
          <w:color w:val="00B0F0"/>
          <w:sz w:val="22"/>
        </w:rPr>
        <w:t>投标人应清单中的每一个项目进行报价（包括综合单价及合价），如漏报或少报项目，则视为其费用已含在其它项目的综合单价或合价中，结算时不调整。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8</w:t>
      </w:r>
      <w:r>
        <w:rPr>
          <w:rFonts w:hint="eastAsia"/>
          <w:color w:val="00B0F0"/>
          <w:sz w:val="22"/>
          <w:lang w:eastAsia="zh-CN"/>
        </w:rPr>
        <w:t>）</w:t>
      </w:r>
      <w:r>
        <w:rPr>
          <w:rFonts w:hint="eastAsia"/>
          <w:color w:val="00B0F0"/>
          <w:sz w:val="22"/>
        </w:rPr>
        <w:t>工程量清单中的总价措施项目费用除安全文明措施费用按规定费率调整外，其余措施项目费用由投标单位踏勘现场后，根据施工组织设计及有关现行施工要求自行考虑完整计入投标报价中。措施费应包括场内外运输、机械进退场、临时设施、材料周转、垂直运输、二次搬运、高压防护、赶工措施、机械停置、噪音排污、围挡、非夜间施工照明费、夜间施工费、冬雨季施工、地上、地下设施、建筑物的临时保护设施、已完工程及设备保护、赶工措施、管线调查与保护、已完工程及设备保护费、交通协调以及根据本招标文件要求的风险金等全部费用。未计入部分按优惠考虑、结算时不再调整。</w:t>
      </w:r>
    </w:p>
    <w:p>
      <w:pPr>
        <w:spacing w:line="360" w:lineRule="auto"/>
        <w:ind w:firstLine="440" w:firstLineChars="200"/>
        <w:rPr>
          <w:rFonts w:hint="eastAsia"/>
          <w:color w:val="00B0F0"/>
          <w:sz w:val="22"/>
          <w:szCs w:val="22"/>
          <w:lang w:val="zh-CN" w:eastAsia="zh-CN"/>
        </w:rPr>
      </w:pPr>
      <w:r>
        <w:rPr>
          <w:rFonts w:hint="eastAsia"/>
          <w:color w:val="00B0F0"/>
          <w:sz w:val="22"/>
          <w:szCs w:val="22"/>
          <w:lang w:val="en-US" w:eastAsia="zh-CN"/>
        </w:rPr>
        <w:t>（9）</w:t>
      </w:r>
      <w:r>
        <w:rPr>
          <w:rFonts w:hint="eastAsia"/>
          <w:color w:val="00B0F0"/>
          <w:sz w:val="22"/>
          <w:szCs w:val="22"/>
          <w:lang w:val="zh-CN" w:eastAsia="zh-CN"/>
        </w:rPr>
        <w:t>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rPr>
          <w:rFonts w:asciiTheme="minorEastAsia" w:hAnsiTheme="minorEastAsia"/>
          <w:color w:val="00B0F0"/>
          <w:sz w:val="22"/>
          <w:highlight w:val="yellow"/>
        </w:rPr>
      </w:pPr>
      <w:r>
        <w:rPr>
          <w:rFonts w:hint="eastAsia"/>
          <w:color w:val="00B0F0"/>
          <w:sz w:val="22"/>
          <w:szCs w:val="22"/>
          <w:lang w:val="en-US" w:eastAsia="zh-CN"/>
        </w:rPr>
        <w:t>（10）</w:t>
      </w:r>
      <w:r>
        <w:rPr>
          <w:rFonts w:hint="eastAsia"/>
          <w:color w:val="00B0F0"/>
          <w:sz w:val="22"/>
          <w:szCs w:val="22"/>
          <w:lang w:val="zh-CN" w:eastAsia="zh-CN"/>
        </w:rPr>
        <w:t>各投标人在进行综合报价时必须结合招标文件中的相关条款及清单描述进行报价，清单子目中未能对各节点进行完全性描述的必须结合施工详细节点进行报价，否则视为已计入相应项目综合单价内，中标后将不调整综合单价。若招标文件中相关</w:t>
      </w:r>
      <w:r>
        <w:rPr>
          <w:rFonts w:hint="eastAsia"/>
          <w:color w:val="00B0F0"/>
          <w:sz w:val="22"/>
          <w:lang w:val="zh-CN"/>
        </w:rPr>
        <w:t>条款及清单描述有冲突的，投标人应在“澄清答疑”环节中向招标人提出，招标人将在“澄清答疑”环节中答复；投标人未在“澄清答疑”环节提出的，则最终解释权归属于招标人。</w:t>
      </w:r>
    </w:p>
    <w:p>
      <w:pPr>
        <w:spacing w:line="360" w:lineRule="auto"/>
        <w:ind w:firstLine="440" w:firstLineChars="200"/>
        <w:rPr>
          <w:rFonts w:hint="eastAsia"/>
          <w:color w:val="00B0F0"/>
          <w:sz w:val="22"/>
          <w:lang w:val="en-US" w:eastAsia="zh-CN"/>
        </w:rPr>
      </w:pPr>
      <w:r>
        <w:rPr>
          <w:rFonts w:hint="eastAsia"/>
          <w:color w:val="00B0F0"/>
          <w:sz w:val="22"/>
        </w:rPr>
        <w:t>2、</w:t>
      </w:r>
      <w:r>
        <w:rPr>
          <w:rFonts w:hint="eastAsia"/>
          <w:color w:val="00B0F0"/>
          <w:sz w:val="22"/>
          <w:lang w:val="en-US" w:eastAsia="zh-CN"/>
        </w:rPr>
        <w:t>道路工程</w:t>
      </w:r>
    </w:p>
    <w:p>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（1）沥青路面拆除为铣刨机铣刨；</w:t>
      </w:r>
    </w:p>
    <w:p>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（2）病害路面拆除厚度，沥青10cm，片石或灰土基层30cm；</w:t>
      </w:r>
    </w:p>
    <w:p>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（3）路面面层摊铺平均厚度5cm，细粒式沥青混凝土；</w:t>
      </w:r>
    </w:p>
    <w:p>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（4）道路基层为C30水泥混凝土基层20cm厚与5%水泥稳定碎石15cm厚；</w:t>
      </w:r>
    </w:p>
    <w:p>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（5）检查井升降工程量为暂估，工程量结算时按实调整，综合单价结算时不调整；</w:t>
      </w:r>
    </w:p>
    <w:p>
      <w:pPr>
        <w:spacing w:line="360" w:lineRule="auto"/>
        <w:ind w:firstLine="440" w:firstLineChars="200"/>
        <w:rPr>
          <w:rFonts w:hint="default"/>
          <w:color w:val="00B0F0"/>
          <w:sz w:val="22"/>
          <w:lang w:val="en-US" w:eastAsia="zh-CN"/>
        </w:rPr>
      </w:pPr>
      <w:r>
        <w:rPr>
          <w:rFonts w:hint="eastAsia"/>
          <w:color w:val="00B0F0"/>
          <w:sz w:val="22"/>
          <w:szCs w:val="22"/>
          <w:lang w:val="en-US" w:eastAsia="zh-CN"/>
        </w:rPr>
        <w:t>（6）井盖安装为原井盖拆除利旧使用，工程量结算时按实调整，综合单价结算时不调整。</w:t>
      </w:r>
    </w:p>
    <w:p>
      <w:pPr>
        <w:spacing w:line="360" w:lineRule="auto"/>
        <w:ind w:firstLine="663" w:firstLineChars="300"/>
        <w:rPr>
          <w:rFonts w:asciiTheme="minorEastAsia" w:hAnsiTheme="minorEastAsia"/>
          <w:b/>
          <w:sz w:val="22"/>
        </w:rPr>
      </w:pPr>
      <w:r>
        <w:rPr>
          <w:rFonts w:hint="eastAsia" w:asciiTheme="minorEastAsia" w:hAnsiTheme="minorEastAsia"/>
          <w:b/>
          <w:sz w:val="22"/>
        </w:rPr>
        <w:t>六、主要材料设备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numPr>
          <w:ilvl w:val="0"/>
          <w:numId w:val="1"/>
        </w:numPr>
        <w:spacing w:line="360" w:lineRule="auto"/>
        <w:ind w:firstLine="440" w:firstLineChars="200"/>
        <w:rPr>
          <w:rFonts w:hint="default" w:asciiTheme="minorEastAsia" w:hAnsiTheme="minorEastAsia" w:eastAsiaTheme="minorEastAsia"/>
          <w:sz w:val="22"/>
          <w:lang w:val="en-US" w:eastAsia="zh-CN"/>
        </w:rPr>
      </w:pPr>
      <w:r>
        <w:rPr>
          <w:rFonts w:hint="eastAsia" w:asciiTheme="minorEastAsia" w:hAnsiTheme="minorEastAsia"/>
          <w:sz w:val="22"/>
        </w:rPr>
        <w:t>本项目主要材料品牌推荐表如下：</w:t>
      </w:r>
    </w:p>
    <w:tbl>
      <w:tblPr>
        <w:tblStyle w:val="8"/>
        <w:tblW w:w="48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836"/>
        <w:gridCol w:w="1924"/>
        <w:gridCol w:w="3622"/>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序号</w:t>
            </w:r>
          </w:p>
        </w:tc>
        <w:tc>
          <w:tcPr>
            <w:tcW w:w="1014"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材料设备名称</w:t>
            </w:r>
          </w:p>
        </w:tc>
        <w:tc>
          <w:tcPr>
            <w:tcW w:w="1063"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推荐品牌（系列）</w:t>
            </w:r>
          </w:p>
        </w:tc>
        <w:tc>
          <w:tcPr>
            <w:tcW w:w="2001"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制造商名称</w:t>
            </w:r>
          </w:p>
        </w:tc>
        <w:tc>
          <w:tcPr>
            <w:tcW w:w="542"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78" w:type="pct"/>
            <w:vMerge w:val="restart"/>
            <w:vAlign w:val="center"/>
          </w:tcPr>
          <w:p>
            <w:pPr>
              <w:spacing w:line="360" w:lineRule="auto"/>
              <w:jc w:val="both"/>
              <w:rPr>
                <w:rFonts w:hint="eastAsia" w:asciiTheme="minorEastAsia" w:hAnsiTheme="minorEastAsia" w:eastAsiaTheme="minorEastAsia" w:cstheme="minorEastAsia"/>
                <w:color w:val="FF0000"/>
                <w:sz w:val="22"/>
                <w:lang w:val="en-US" w:eastAsia="zh-CN"/>
              </w:rPr>
            </w:pPr>
            <w:r>
              <w:rPr>
                <w:rFonts w:hint="eastAsia" w:asciiTheme="minorEastAsia" w:hAnsiTheme="minorEastAsia" w:eastAsiaTheme="minorEastAsia" w:cstheme="minorEastAsia"/>
                <w:color w:val="FF0000"/>
                <w:sz w:val="22"/>
                <w:lang w:val="en-US" w:eastAsia="zh-CN"/>
              </w:rPr>
              <w:t>2</w:t>
            </w:r>
          </w:p>
        </w:tc>
        <w:tc>
          <w:tcPr>
            <w:tcW w:w="1014" w:type="pct"/>
            <w:vMerge w:val="restart"/>
            <w:vAlign w:val="center"/>
          </w:tcPr>
          <w:p>
            <w:pPr>
              <w:spacing w:line="360" w:lineRule="auto"/>
              <w:jc w:val="center"/>
              <w:rPr>
                <w:rFonts w:hint="eastAsia" w:asciiTheme="minorEastAsia" w:hAnsiTheme="minorEastAsia" w:eastAsiaTheme="minorEastAsia"/>
                <w:color w:val="FF0000"/>
                <w:sz w:val="22"/>
                <w:lang w:val="en-US" w:eastAsia="zh-CN"/>
              </w:rPr>
            </w:pPr>
            <w:r>
              <w:rPr>
                <w:rFonts w:hint="eastAsia" w:asciiTheme="minorEastAsia" w:hAnsiTheme="minorEastAsia"/>
                <w:color w:val="FF0000"/>
                <w:sz w:val="22"/>
                <w:lang w:val="en-US" w:eastAsia="zh-CN"/>
              </w:rPr>
              <w:t>水泥</w:t>
            </w: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海螺</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安徽海螺水泥股份有限公司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鹤林</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江苏鹤林水泥有限公司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中联</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中国联合水泥集团有限公司</w:t>
            </w:r>
          </w:p>
        </w:tc>
        <w:tc>
          <w:tcPr>
            <w:tcW w:w="542" w:type="pct"/>
            <w:vAlign w:val="center"/>
          </w:tcPr>
          <w:p>
            <w:pPr>
              <w:spacing w:line="360" w:lineRule="auto"/>
              <w:jc w:val="center"/>
              <w:rPr>
                <w:rFonts w:asciiTheme="minorEastAsia" w:hAnsiTheme="minorEastAsia"/>
                <w:color w:val="FF0000"/>
                <w:sz w:val="22"/>
              </w:rPr>
            </w:pPr>
          </w:p>
        </w:tc>
      </w:tr>
    </w:tbl>
    <w:p>
      <w:pPr>
        <w:keepNext w:val="0"/>
        <w:keepLines w:val="0"/>
        <w:pageBreakBefore w:val="0"/>
        <w:widowControl w:val="0"/>
        <w:kinsoku/>
        <w:wordWrap/>
        <w:overflowPunct/>
        <w:topLinePunct w:val="0"/>
        <w:autoSpaceDE/>
        <w:autoSpaceDN/>
        <w:bidi w:val="0"/>
        <w:adjustRightInd/>
        <w:snapToGrid/>
        <w:jc w:val="center"/>
        <w:textAlignment w:val="auto"/>
      </w:pPr>
    </w:p>
    <w:p>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numPr>
          <w:ilvl w:val="0"/>
          <w:numId w:val="2"/>
        </w:numPr>
        <w:spacing w:line="360" w:lineRule="auto"/>
        <w:ind w:firstLine="442" w:firstLineChars="200"/>
        <w:rPr>
          <w:rFonts w:hint="eastAsia" w:asciiTheme="minorEastAsia" w:hAnsiTheme="minorEastAsia"/>
          <w:b/>
          <w:sz w:val="22"/>
        </w:rPr>
      </w:pPr>
      <w:r>
        <w:rPr>
          <w:rFonts w:hint="eastAsia" w:asciiTheme="minorEastAsia" w:hAnsiTheme="minorEastAsia"/>
          <w:b/>
          <w:sz w:val="22"/>
        </w:rPr>
        <w:t>招标人自行采购的主要材料设备</w:t>
      </w:r>
    </w:p>
    <w:p>
      <w:pPr>
        <w:spacing w:line="360" w:lineRule="auto"/>
        <w:ind w:firstLine="440" w:firstLineChars="200"/>
        <w:rPr>
          <w:rFonts w:hint="default" w:asciiTheme="minorEastAsia" w:hAnsiTheme="minorEastAsia" w:eastAsiaTheme="minorEastAsia"/>
          <w:b w:val="0"/>
          <w:bCs/>
          <w:color w:val="00B0F0"/>
          <w:sz w:val="22"/>
          <w:lang w:val="en-US" w:eastAsia="zh-CN"/>
        </w:rPr>
      </w:pPr>
      <w:r>
        <w:rPr>
          <w:rFonts w:hint="eastAsia" w:asciiTheme="minorEastAsia" w:hAnsiTheme="minorEastAsia"/>
          <w:b w:val="0"/>
          <w:bCs/>
          <w:sz w:val="22"/>
          <w:lang w:val="en-US" w:eastAsia="zh-CN"/>
        </w:rPr>
        <w:t xml:space="preserve"> 详见招标清单</w:t>
      </w:r>
    </w:p>
    <w:p>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2、工程量清单中每一项目的工作内容，分部分项工程量清单中“项目特征”内容描述不详尽的，以《建设工程工程量清单计价规范》（GB50500-2013）及相关规范为准，施工材料及施工方法均须满足规范要求。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asciiTheme="minorEastAsia" w:hAnsiTheme="minorEastAsia"/>
          <w:sz w:val="22"/>
        </w:rPr>
      </w:pPr>
      <w:r>
        <w:rPr>
          <w:rFonts w:hint="eastAsia" w:asciiTheme="minorEastAsia" w:hAnsiTheme="minorEastAsia"/>
          <w:sz w:val="22"/>
        </w:rPr>
        <w:t>5、若招标文件中相关条款及清单描述有冲突的，投标人应在“澄清答疑”环节中向招标人提出，招标人将在“澄清答疑”环节中答复；投标人未在“澄清答疑”环节提出的，则最终解释权归属于招标人。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47993"/>
    <w:multiLevelType w:val="singleLevel"/>
    <w:tmpl w:val="82D47993"/>
    <w:lvl w:ilvl="0" w:tentative="0">
      <w:start w:val="1"/>
      <w:numFmt w:val="decimal"/>
      <w:suff w:val="nothing"/>
      <w:lvlText w:val="%1、"/>
      <w:lvlJc w:val="left"/>
    </w:lvl>
  </w:abstractNum>
  <w:abstractNum w:abstractNumId="1">
    <w:nsid w:val="F0D336BE"/>
    <w:multiLevelType w:val="singleLevel"/>
    <w:tmpl w:val="F0D336BE"/>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hNDI2NzI5M2FmOTJhZDBhZjU5ZmE3MjI4Zjc1MTg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12DE3"/>
    <w:rsid w:val="00C2544E"/>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17B7436"/>
    <w:rsid w:val="01C0753F"/>
    <w:rsid w:val="01DB6127"/>
    <w:rsid w:val="03B92498"/>
    <w:rsid w:val="04275653"/>
    <w:rsid w:val="0430275A"/>
    <w:rsid w:val="046E6DDE"/>
    <w:rsid w:val="04F35535"/>
    <w:rsid w:val="062C51A3"/>
    <w:rsid w:val="06F832D7"/>
    <w:rsid w:val="07372051"/>
    <w:rsid w:val="07DD49A7"/>
    <w:rsid w:val="089D5EE4"/>
    <w:rsid w:val="0A04407F"/>
    <w:rsid w:val="0B291CB1"/>
    <w:rsid w:val="0B5A61E5"/>
    <w:rsid w:val="0BA650B0"/>
    <w:rsid w:val="0BC1638D"/>
    <w:rsid w:val="0C2D3A23"/>
    <w:rsid w:val="0C9F66CF"/>
    <w:rsid w:val="0DB241E0"/>
    <w:rsid w:val="0DF162E9"/>
    <w:rsid w:val="0E8A515C"/>
    <w:rsid w:val="0EB65F51"/>
    <w:rsid w:val="0F07055B"/>
    <w:rsid w:val="0F5C08A7"/>
    <w:rsid w:val="0F625791"/>
    <w:rsid w:val="0FD22917"/>
    <w:rsid w:val="1003364F"/>
    <w:rsid w:val="11032FA4"/>
    <w:rsid w:val="12EF1A32"/>
    <w:rsid w:val="12F17558"/>
    <w:rsid w:val="13960100"/>
    <w:rsid w:val="139A7BF0"/>
    <w:rsid w:val="15E769F0"/>
    <w:rsid w:val="16157A01"/>
    <w:rsid w:val="16227A29"/>
    <w:rsid w:val="1767603B"/>
    <w:rsid w:val="18115FA7"/>
    <w:rsid w:val="186F08B9"/>
    <w:rsid w:val="1912647A"/>
    <w:rsid w:val="19BF05FB"/>
    <w:rsid w:val="1A411645"/>
    <w:rsid w:val="1AE300CE"/>
    <w:rsid w:val="1B010554"/>
    <w:rsid w:val="1B28788F"/>
    <w:rsid w:val="1C744D56"/>
    <w:rsid w:val="1D266050"/>
    <w:rsid w:val="1D5C4168"/>
    <w:rsid w:val="1EB53B30"/>
    <w:rsid w:val="1EBF675C"/>
    <w:rsid w:val="1F332CA6"/>
    <w:rsid w:val="1F38650F"/>
    <w:rsid w:val="24A00DDE"/>
    <w:rsid w:val="24FA2B76"/>
    <w:rsid w:val="25B12B77"/>
    <w:rsid w:val="25C94365"/>
    <w:rsid w:val="25E42F4C"/>
    <w:rsid w:val="26661BB3"/>
    <w:rsid w:val="27286875"/>
    <w:rsid w:val="28137B19"/>
    <w:rsid w:val="28915DF1"/>
    <w:rsid w:val="29362A8E"/>
    <w:rsid w:val="29387837"/>
    <w:rsid w:val="29B175E9"/>
    <w:rsid w:val="29B42820"/>
    <w:rsid w:val="29F319B0"/>
    <w:rsid w:val="2A181417"/>
    <w:rsid w:val="2A3F4BF5"/>
    <w:rsid w:val="2ACB46DB"/>
    <w:rsid w:val="2B3A3283"/>
    <w:rsid w:val="2C752B50"/>
    <w:rsid w:val="2C892158"/>
    <w:rsid w:val="2CAB47C4"/>
    <w:rsid w:val="2CB87701"/>
    <w:rsid w:val="2DA03BFD"/>
    <w:rsid w:val="2DD54FC4"/>
    <w:rsid w:val="2EC97183"/>
    <w:rsid w:val="2F2A5387"/>
    <w:rsid w:val="302C5C1C"/>
    <w:rsid w:val="3062163D"/>
    <w:rsid w:val="30B31E99"/>
    <w:rsid w:val="30C916BD"/>
    <w:rsid w:val="31E63BA8"/>
    <w:rsid w:val="32454D73"/>
    <w:rsid w:val="32C97752"/>
    <w:rsid w:val="340824FC"/>
    <w:rsid w:val="34360E17"/>
    <w:rsid w:val="351F3659"/>
    <w:rsid w:val="35633E8E"/>
    <w:rsid w:val="35A3072E"/>
    <w:rsid w:val="35CF1523"/>
    <w:rsid w:val="35DE1766"/>
    <w:rsid w:val="361138EA"/>
    <w:rsid w:val="380A4A95"/>
    <w:rsid w:val="3814321D"/>
    <w:rsid w:val="386677F1"/>
    <w:rsid w:val="390633B0"/>
    <w:rsid w:val="39A14F85"/>
    <w:rsid w:val="3A4678DA"/>
    <w:rsid w:val="3A7C154E"/>
    <w:rsid w:val="3AD564D4"/>
    <w:rsid w:val="3B47390A"/>
    <w:rsid w:val="3B84690C"/>
    <w:rsid w:val="3C970B3B"/>
    <w:rsid w:val="3FE46BF2"/>
    <w:rsid w:val="3FFC1167"/>
    <w:rsid w:val="41361DF3"/>
    <w:rsid w:val="41390199"/>
    <w:rsid w:val="41744D2D"/>
    <w:rsid w:val="417810A7"/>
    <w:rsid w:val="41D659E7"/>
    <w:rsid w:val="42772D26"/>
    <w:rsid w:val="434F77FF"/>
    <w:rsid w:val="43817D71"/>
    <w:rsid w:val="4436276D"/>
    <w:rsid w:val="44586B88"/>
    <w:rsid w:val="455E2276"/>
    <w:rsid w:val="45603F46"/>
    <w:rsid w:val="47EA5D49"/>
    <w:rsid w:val="48FA645F"/>
    <w:rsid w:val="49184B37"/>
    <w:rsid w:val="49914A4E"/>
    <w:rsid w:val="4AA711BB"/>
    <w:rsid w:val="4B427C4A"/>
    <w:rsid w:val="4C365A00"/>
    <w:rsid w:val="4D783DF7"/>
    <w:rsid w:val="4DAD39C0"/>
    <w:rsid w:val="4EA34EA3"/>
    <w:rsid w:val="50BF1E8B"/>
    <w:rsid w:val="510F4A72"/>
    <w:rsid w:val="51426BF5"/>
    <w:rsid w:val="517B5C63"/>
    <w:rsid w:val="51A451BA"/>
    <w:rsid w:val="51DC0DF8"/>
    <w:rsid w:val="51E43809"/>
    <w:rsid w:val="51FE2F47"/>
    <w:rsid w:val="52462715"/>
    <w:rsid w:val="537A08C9"/>
    <w:rsid w:val="53980D4F"/>
    <w:rsid w:val="539A4FAB"/>
    <w:rsid w:val="54C40FED"/>
    <w:rsid w:val="5543118E"/>
    <w:rsid w:val="555313D1"/>
    <w:rsid w:val="56025F50"/>
    <w:rsid w:val="56DE116E"/>
    <w:rsid w:val="57B123DF"/>
    <w:rsid w:val="57D60097"/>
    <w:rsid w:val="581D1822"/>
    <w:rsid w:val="58207565"/>
    <w:rsid w:val="5A5F25C6"/>
    <w:rsid w:val="5A9658BC"/>
    <w:rsid w:val="5AE96334"/>
    <w:rsid w:val="5B522F45"/>
    <w:rsid w:val="5BCA3A6F"/>
    <w:rsid w:val="5BE30FD5"/>
    <w:rsid w:val="5C5F202C"/>
    <w:rsid w:val="5C6739B4"/>
    <w:rsid w:val="5CCA380F"/>
    <w:rsid w:val="5D1D22C5"/>
    <w:rsid w:val="5D417743"/>
    <w:rsid w:val="5E0314BA"/>
    <w:rsid w:val="62AA45FB"/>
    <w:rsid w:val="62EA2C49"/>
    <w:rsid w:val="634077BA"/>
    <w:rsid w:val="63F024E1"/>
    <w:rsid w:val="650C334B"/>
    <w:rsid w:val="66A23F66"/>
    <w:rsid w:val="66CD2666"/>
    <w:rsid w:val="66D30AF2"/>
    <w:rsid w:val="67053946"/>
    <w:rsid w:val="67B81568"/>
    <w:rsid w:val="67E20393"/>
    <w:rsid w:val="68190258"/>
    <w:rsid w:val="682E35D8"/>
    <w:rsid w:val="691B0000"/>
    <w:rsid w:val="6A10568B"/>
    <w:rsid w:val="6AE3108D"/>
    <w:rsid w:val="6B9B71D6"/>
    <w:rsid w:val="6BF15048"/>
    <w:rsid w:val="6BF608B1"/>
    <w:rsid w:val="6BF6265F"/>
    <w:rsid w:val="6E313E22"/>
    <w:rsid w:val="6F9603E0"/>
    <w:rsid w:val="70E37655"/>
    <w:rsid w:val="71A30B93"/>
    <w:rsid w:val="720C2BDC"/>
    <w:rsid w:val="72BC63B0"/>
    <w:rsid w:val="731F249B"/>
    <w:rsid w:val="73357F10"/>
    <w:rsid w:val="737427E7"/>
    <w:rsid w:val="73813156"/>
    <w:rsid w:val="739E5AB6"/>
    <w:rsid w:val="73AD4358"/>
    <w:rsid w:val="74626AE3"/>
    <w:rsid w:val="749018A2"/>
    <w:rsid w:val="751A116C"/>
    <w:rsid w:val="75976C60"/>
    <w:rsid w:val="75D02172"/>
    <w:rsid w:val="760C31AA"/>
    <w:rsid w:val="771147F0"/>
    <w:rsid w:val="77B51620"/>
    <w:rsid w:val="786D1EFA"/>
    <w:rsid w:val="78B83176"/>
    <w:rsid w:val="79181E66"/>
    <w:rsid w:val="79AD6A52"/>
    <w:rsid w:val="7A3B3BAF"/>
    <w:rsid w:val="7A543372"/>
    <w:rsid w:val="7AC25DAF"/>
    <w:rsid w:val="7BAD0F8C"/>
    <w:rsid w:val="7C1A2EDC"/>
    <w:rsid w:val="7C507B69"/>
    <w:rsid w:val="7C765821"/>
    <w:rsid w:val="7E4454AB"/>
    <w:rsid w:val="7E8E6727"/>
    <w:rsid w:val="7F0D7F93"/>
    <w:rsid w:val="7F604567"/>
    <w:rsid w:val="7F671451"/>
    <w:rsid w:val="7FC1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autoRedefine/>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6">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4"/>
    <w:autoRedefine/>
    <w:qFormat/>
    <w:uiPriority w:val="99"/>
    <w:rPr>
      <w:sz w:val="18"/>
      <w:szCs w:val="18"/>
    </w:rPr>
  </w:style>
  <w:style w:type="character" w:customStyle="1" w:styleId="11">
    <w:name w:val="页脚 Char"/>
    <w:basedOn w:val="9"/>
    <w:link w:val="3"/>
    <w:autoRedefine/>
    <w:qFormat/>
    <w:uiPriority w:val="99"/>
    <w:rPr>
      <w:sz w:val="18"/>
      <w:szCs w:val="18"/>
    </w:rPr>
  </w:style>
  <w:style w:type="character" w:customStyle="1" w:styleId="12">
    <w:name w:val="批注框文本 Char"/>
    <w:basedOn w:val="9"/>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9178</Words>
  <Characters>9756</Characters>
  <Lines>19</Lines>
  <Paragraphs>5</Paragraphs>
  <TotalTime>3</TotalTime>
  <ScaleCrop>false</ScaleCrop>
  <LinksUpToDate>false</LinksUpToDate>
  <CharactersWithSpaces>9789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          温衡°</cp:lastModifiedBy>
  <dcterms:modified xsi:type="dcterms:W3CDTF">2024-03-04T08:06:17Z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6AAE6B21FEE14E34846FB20A7B18AEE3_12</vt:lpwstr>
  </property>
</Properties>
</file>