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华文楷体"/>
          <w:b/>
          <w:sz w:val="40"/>
          <w:szCs w:val="40"/>
        </w:rPr>
      </w:pPr>
      <w:r>
        <w:rPr>
          <w:rFonts w:hint="eastAsia" w:ascii="华文楷体" w:hAnsi="华文楷体" w:eastAsia="华文楷体" w:cs="华文楷体"/>
          <w:b/>
          <w:sz w:val="40"/>
          <w:szCs w:val="40"/>
        </w:rPr>
        <w:t>清单编制说明</w:t>
      </w:r>
    </w:p>
    <w:p>
      <w:pPr>
        <w:numPr>
          <w:ilvl w:val="0"/>
          <w:numId w:val="1"/>
        </w:num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工程概况</w:t>
      </w:r>
    </w:p>
    <w:p>
      <w:pPr>
        <w:pStyle w:val="22"/>
        <w:widowControl/>
        <w:spacing w:before="0" w:beforeAutospacing="0" w:after="0" w:afterAutospacing="0" w:line="360" w:lineRule="auto"/>
        <w:ind w:firstLine="560" w:firstLineChars="200"/>
        <w:rPr>
          <w:rFonts w:hint="eastAsia" w:ascii="华文楷体" w:hAnsi="华文楷体" w:eastAsia="华文楷体" w:cs="华文楷体"/>
          <w:sz w:val="28"/>
          <w:szCs w:val="28"/>
          <w:highlight w:val="none"/>
        </w:rPr>
      </w:pPr>
      <w:r>
        <w:rPr>
          <w:rFonts w:hint="eastAsia" w:ascii="华文楷体" w:hAnsi="华文楷体" w:eastAsia="华文楷体" w:cs="华文楷体"/>
          <w:sz w:val="28"/>
          <w:szCs w:val="28"/>
          <w:highlight w:val="none"/>
        </w:rPr>
        <w:t>南京大学鼓楼校区计算机中心防盗金钢网纱窗安装，位于南京大学</w:t>
      </w:r>
      <w:r>
        <w:rPr>
          <w:rFonts w:hint="eastAsia" w:ascii="华文楷体" w:hAnsi="华文楷体" w:eastAsia="华文楷体" w:cs="华文楷体"/>
          <w:sz w:val="28"/>
          <w:szCs w:val="28"/>
          <w:highlight w:val="none"/>
          <w:lang w:val="en-US" w:eastAsia="zh-CN"/>
        </w:rPr>
        <w:t>鼓楼校区</w:t>
      </w:r>
      <w:r>
        <w:rPr>
          <w:rFonts w:hint="eastAsia" w:ascii="华文楷体" w:hAnsi="华文楷体" w:eastAsia="华文楷体" w:cs="华文楷体"/>
          <w:sz w:val="28"/>
          <w:szCs w:val="28"/>
          <w:highlight w:val="none"/>
        </w:rPr>
        <w:t>，项目内容:南京大学鼓楼校区计算机中心防盗金钢网纱窗</w:t>
      </w:r>
      <w:r>
        <w:rPr>
          <w:rFonts w:hint="eastAsia" w:ascii="华文楷体" w:hAnsi="华文楷体" w:eastAsia="华文楷体" w:cs="华文楷体"/>
          <w:sz w:val="28"/>
          <w:szCs w:val="28"/>
          <w:highlight w:val="none"/>
          <w:lang w:val="en-US" w:eastAsia="zh-CN"/>
        </w:rPr>
        <w:t>安装等</w:t>
      </w:r>
      <w:r>
        <w:rPr>
          <w:rFonts w:hint="eastAsia" w:ascii="华文楷体" w:hAnsi="华文楷体" w:eastAsia="华文楷体" w:cs="华文楷体"/>
          <w:sz w:val="28"/>
          <w:szCs w:val="28"/>
          <w:highlight w:val="none"/>
        </w:rPr>
        <w:t>。</w:t>
      </w:r>
    </w:p>
    <w:p>
      <w:pPr>
        <w:pStyle w:val="22"/>
        <w:widowControl/>
        <w:spacing w:before="0" w:beforeAutospacing="0" w:after="0" w:afterAutospacing="0" w:line="360" w:lineRule="auto"/>
        <w:ind w:firstLine="560" w:firstLineChars="200"/>
        <w:rPr>
          <w:rFonts w:hint="eastAsia" w:ascii="华文楷体" w:hAnsi="华文楷体" w:eastAsia="华文楷体" w:cs="华文楷体"/>
          <w:kern w:val="2"/>
          <w:sz w:val="28"/>
          <w:szCs w:val="28"/>
          <w:highlight w:val="none"/>
          <w:lang w:eastAsia="zh-CN"/>
        </w:rPr>
      </w:pPr>
      <w:r>
        <w:rPr>
          <w:rFonts w:hint="eastAsia" w:ascii="华文楷体" w:hAnsi="华文楷体" w:eastAsia="华文楷体" w:cs="华文楷体"/>
          <w:kern w:val="2"/>
          <w:sz w:val="28"/>
          <w:szCs w:val="28"/>
          <w:highlight w:val="none"/>
        </w:rPr>
        <w:t>施工的范围: 详见图纸</w:t>
      </w:r>
      <w:r>
        <w:rPr>
          <w:rFonts w:hint="eastAsia" w:ascii="华文楷体" w:hAnsi="华文楷体" w:eastAsia="华文楷体" w:cs="华文楷体"/>
          <w:kern w:val="2"/>
          <w:sz w:val="28"/>
          <w:szCs w:val="28"/>
          <w:highlight w:val="none"/>
          <w:lang w:eastAsia="zh-CN"/>
        </w:rPr>
        <w:t>。</w:t>
      </w:r>
    </w:p>
    <w:p>
      <w:pPr>
        <w:numPr>
          <w:ilvl w:val="0"/>
          <w:numId w:val="1"/>
        </w:numPr>
        <w:spacing w:line="360" w:lineRule="auto"/>
        <w:rPr>
          <w:rFonts w:ascii="华文楷体" w:hAnsi="华文楷体" w:eastAsia="华文楷体" w:cs="华文楷体"/>
          <w:b/>
          <w:bCs/>
          <w:sz w:val="28"/>
          <w:szCs w:val="28"/>
          <w:highlight w:val="none"/>
        </w:rPr>
      </w:pPr>
      <w:r>
        <w:rPr>
          <w:rFonts w:hint="eastAsia" w:ascii="华文楷体" w:hAnsi="华文楷体" w:eastAsia="华文楷体" w:cs="华文楷体"/>
          <w:b/>
          <w:bCs/>
          <w:sz w:val="28"/>
          <w:szCs w:val="28"/>
          <w:highlight w:val="none"/>
        </w:rPr>
        <w:t>工程招标和分包范围</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highlight w:val="none"/>
        </w:rPr>
        <w:t>本项目招标清单范围等所有内容，</w:t>
      </w:r>
      <w:r>
        <w:rPr>
          <w:rFonts w:hint="eastAsia" w:ascii="华文楷体" w:hAnsi="华文楷体" w:eastAsia="华文楷体" w:cs="华文楷体"/>
          <w:sz w:val="28"/>
          <w:szCs w:val="28"/>
        </w:rPr>
        <w:t>本项目共一个标段，无其它专业分包项。</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三、编制依据</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1、现场实际勘查。</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2、《省住房城乡建设厅关于&lt;建设工程工程量清单计价规范&gt;（GB50500—2013）及其9本工程量计算规范的贯彻意见》（苏建价〔2014〕448号）。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3、《省住房城乡建设厅关于建筑业实施营改增后江苏省建设工程计价依据调整的通知》（苏建价〔2016〕154号）中不可竞争费用的规定。</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4、《省住房城乡建设厅关于调整建设工程计价增值税税率的通知》（苏建函价﹝2019﹞178号）。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rPr>
        <w:t>其它文件等。</w:t>
      </w:r>
      <w:bookmarkStart w:id="0" w:name="_GoBack"/>
      <w:bookmarkEnd w:id="0"/>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四、图纸及工程量计算中的相关说明</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1、通用部分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（1）投标人在投标报价时结合现场实际情况考虑夜间施工及围挡防护安全，结算时不再调整；</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（2）本工程所需报验、报检费用甲方不予承担，投标人自行考虑计入投标报价；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（3）措施费项目投标单位可自行增添内容，自行报价，未计放部分按优惠考虑，结算时不再调整，投标人在报价中应充分考虑所涉及的各项措施费及风险因素后再进行报价，不可竞争费按规定报价；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（4）施工现场、交通运输情况及自然地理条件由投标人自行现场勘察，应充分考虑本工程场地现状的特点，可能对工程施工造成的影响并由此增加的费用等，做出考量一并考虑在投标报价中；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（5）清单中项目特征描述清单的主要特征，详见图纸，投标报价时应考虑图纸所示施工要求等一切费用；</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6）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7）投标人在投标文件中应明确主要材料所报的品牌、规格型号及厂家，包括招标文件和工程量清单编制说明中已经列明的品牌或投标人自报材料的品牌，否则招标人有权对没有报品牌的主要材料指定相应的品牌，投标人无权拒绝。</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8）承包人对分包商配合内容为：①垂直运输；②现场文明施工；③外墙脚手施工和井道内脚手施工；④专业队伍预留洞、槽等及修补；⑤提供临时用水、电的接口；⑥材料堆放点（房间）及办公场所；⑦安全宣传，措施落实及处理；⑧成品保护；⑨竣工资料收集及工程统一报验。</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2、</w:t>
      </w:r>
      <w:r>
        <w:rPr>
          <w:rFonts w:hint="eastAsia" w:ascii="华文楷体" w:hAnsi="华文楷体" w:eastAsia="华文楷体" w:cs="华文楷体"/>
          <w:kern w:val="2"/>
          <w:sz w:val="28"/>
          <w:szCs w:val="28"/>
          <w:lang w:val="en-US" w:eastAsia="zh-CN"/>
        </w:rPr>
        <w:t>装饰</w:t>
      </w:r>
      <w:r>
        <w:rPr>
          <w:rFonts w:hint="eastAsia" w:ascii="华文楷体" w:hAnsi="华文楷体" w:eastAsia="华文楷体" w:cs="华文楷体"/>
          <w:kern w:val="2"/>
          <w:sz w:val="28"/>
          <w:szCs w:val="28"/>
        </w:rPr>
        <w:t>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（1）本项目投标人应自行察看现场，对前期施工中的各种施工因素需综合考虑并分项报价。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（2）工程量清单描述不全时，应结合设计图纸，并应当综合考虑施工规范，地方规章等要求，所产生的费用计入报价中。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3</w:t>
      </w:r>
      <w:r>
        <w:rPr>
          <w:rFonts w:hint="eastAsia" w:ascii="华文楷体" w:hAnsi="华文楷体" w:eastAsia="华文楷体" w:cs="华文楷体"/>
          <w:sz w:val="28"/>
          <w:szCs w:val="28"/>
        </w:rPr>
        <w:t>）清单中项目特征描述不论是否完整，项目特征描述是否全面，招标图纸上的内容均含在此次报价内，投标人未在答疑阶段提出的均视为让利，该部分费用含在投标总费用当中，中标后不做调整（设计变更除外）。</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4</w:t>
      </w:r>
      <w:r>
        <w:rPr>
          <w:rFonts w:hint="eastAsia" w:ascii="华文楷体" w:hAnsi="华文楷体" w:eastAsia="华文楷体" w:cs="华文楷体"/>
          <w:sz w:val="28"/>
          <w:szCs w:val="28"/>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rPr>
          <w:rFonts w:hint="eastAsia" w:ascii="华文楷体" w:hAnsi="华文楷体" w:eastAsia="华文楷体" w:cs="华文楷体"/>
          <w:sz w:val="28"/>
          <w:szCs w:val="28"/>
        </w:rPr>
      </w:pPr>
      <w:r>
        <w:rPr>
          <w:rFonts w:hint="eastAsia" w:ascii="华文楷体" w:hAnsi="华文楷体" w:eastAsia="华文楷体" w:cs="华文楷体"/>
          <w:kern w:val="2"/>
          <w:sz w:val="28"/>
          <w:szCs w:val="28"/>
        </w:rPr>
        <w:t>（</w:t>
      </w:r>
      <w:r>
        <w:rPr>
          <w:rFonts w:hint="eastAsia" w:ascii="华文楷体" w:hAnsi="华文楷体" w:eastAsia="华文楷体" w:cs="华文楷体"/>
          <w:kern w:val="2"/>
          <w:sz w:val="28"/>
          <w:szCs w:val="28"/>
          <w:lang w:val="en-US" w:eastAsia="zh-CN"/>
        </w:rPr>
        <w:t>5</w:t>
      </w:r>
      <w:r>
        <w:rPr>
          <w:rFonts w:hint="eastAsia" w:ascii="华文楷体" w:hAnsi="华文楷体" w:eastAsia="华文楷体" w:cs="华文楷体"/>
          <w:kern w:val="2"/>
          <w:sz w:val="28"/>
          <w:szCs w:val="28"/>
        </w:rPr>
        <w:t>）</w:t>
      </w:r>
      <w:r>
        <w:rPr>
          <w:rFonts w:hint="eastAsia" w:ascii="华文楷体" w:hAnsi="华文楷体" w:eastAsia="华文楷体" w:cs="华文楷体"/>
          <w:kern w:val="2"/>
          <w:sz w:val="28"/>
          <w:szCs w:val="28"/>
          <w:lang w:val="en-US" w:eastAsia="zh-CN"/>
        </w:rPr>
        <w:t>施工中应当考虑窗户成品保护，不得损坏原状窗户，投标人应综合考虑在报价中，结算时不予调整。</w:t>
      </w:r>
    </w:p>
    <w:p>
      <w:pPr>
        <w:autoSpaceDE w:val="0"/>
        <w:autoSpaceDN w:val="0"/>
        <w:adjustRightInd w:val="0"/>
        <w:spacing w:line="360" w:lineRule="auto"/>
        <w:ind w:firstLine="560" w:firstLineChars="200"/>
        <w:jc w:val="left"/>
        <w:rPr>
          <w:rFonts w:hint="default" w:ascii="华文楷体" w:hAnsi="华文楷体" w:eastAsia="华文楷体" w:cs="华文楷体"/>
          <w:sz w:val="28"/>
          <w:szCs w:val="28"/>
          <w:lang w:val="en-US" w:eastAsia="zh-CN"/>
        </w:rPr>
      </w:pP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五、主要材料设备</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（一）投标人负责采购的主要材料设备</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本次招标要求投标人在投标时承诺使用招标人提供的品牌，在合同履行过程中进行选择。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1、主要材料品牌推荐表如下：</w:t>
      </w:r>
    </w:p>
    <w:tbl>
      <w:tblPr>
        <w:tblStyle w:val="25"/>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4"/>
        <w:gridCol w:w="1219"/>
        <w:gridCol w:w="2067"/>
        <w:gridCol w:w="4700"/>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序号</w:t>
            </w:r>
          </w:p>
        </w:tc>
        <w:tc>
          <w:tcPr>
            <w:tcW w:w="1219"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材料设备名称</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推荐品牌</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生产商全称</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1</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sz w:val="28"/>
                <w:szCs w:val="28"/>
                <w14:textFill>
                  <w14:solidFill>
                    <w14:schemeClr w14:val="tx1"/>
                  </w14:solidFill>
                </w14:textFill>
              </w:rPr>
            </w:pPr>
            <w:r>
              <w:rPr>
                <w:rFonts w:hint="eastAsia" w:ascii="宋体" w:hAnsi="宋体" w:eastAsia="宋体" w:cs="宋体"/>
                <w:color w:val="000000"/>
                <w:kern w:val="0"/>
                <w:sz w:val="20"/>
                <w:szCs w:val="20"/>
                <w:lang w:bidi="ar"/>
              </w:rPr>
              <w:t>型材</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亚洲铝业</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肇庆亚洲铝厂有限公司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凤铝</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广东凤铝铝业有限公司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val="en-US" w:eastAsia="zh-CN" w:bidi="ar"/>
              </w:rPr>
              <w:t>栋</w:t>
            </w:r>
            <w:r>
              <w:rPr>
                <w:rFonts w:hint="eastAsia" w:ascii="宋体" w:hAnsi="宋体" w:eastAsia="宋体" w:cs="宋体"/>
                <w:color w:val="000000"/>
                <w:kern w:val="0"/>
                <w:sz w:val="20"/>
                <w:szCs w:val="20"/>
                <w:lang w:bidi="ar"/>
              </w:rPr>
              <w:t>梁</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栋梁铝业有限公司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2</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五金抉件</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合和建筑五金</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广东合和建筑五金制品有限公司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坚朗</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广东坚朗五金制品股份有限公司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杨氏立兴</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青岛立兴杨氏门窗配件有限公司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3</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不</w:t>
            </w:r>
            <w:r>
              <w:rPr>
                <w:rFonts w:hint="eastAsia" w:ascii="宋体" w:hAnsi="宋体" w:eastAsia="宋体" w:cs="宋体"/>
                <w:color w:val="000000"/>
                <w:kern w:val="0"/>
                <w:sz w:val="20"/>
                <w:szCs w:val="20"/>
                <w:lang w:val="en-US" w:eastAsia="zh-CN" w:bidi="ar"/>
              </w:rPr>
              <w:t>锈</w:t>
            </w:r>
            <w:r>
              <w:rPr>
                <w:rFonts w:hint="eastAsia" w:ascii="宋体" w:hAnsi="宋体" w:eastAsia="宋体" w:cs="宋体"/>
                <w:color w:val="000000"/>
                <w:kern w:val="0"/>
                <w:sz w:val="20"/>
                <w:szCs w:val="20"/>
                <w:lang w:bidi="ar"/>
              </w:rPr>
              <w:t>钢板</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color w:val="000000"/>
                <w:kern w:val="0"/>
                <w:sz w:val="20"/>
                <w:szCs w:val="20"/>
                <w:lang w:bidi="ar"/>
              </w:rPr>
              <w:t>太钢</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color w:val="000000"/>
                <w:kern w:val="0"/>
                <w:sz w:val="20"/>
                <w:szCs w:val="20"/>
                <w:lang w:bidi="ar"/>
              </w:rPr>
              <w:t>太原钢铁(集团)有限公司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ZPSS</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浦项 (张家港)不锈钢股份有限公司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kern w:val="0"/>
                <w:sz w:val="20"/>
                <w:szCs w:val="20"/>
                <w:lang w:eastAsia="zh-CN" w:bidi="ar"/>
              </w:rPr>
            </w:pPr>
            <w:r>
              <w:rPr>
                <w:rFonts w:hint="eastAsia" w:ascii="宋体" w:hAnsi="宋体" w:eastAsia="宋体" w:cs="宋体"/>
                <w:color w:val="000000"/>
                <w:kern w:val="0"/>
                <w:sz w:val="20"/>
                <w:szCs w:val="20"/>
                <w:lang w:val="en-US" w:eastAsia="zh-CN" w:bidi="ar"/>
              </w:rPr>
              <w:t>宝钢</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color w:val="000000"/>
                <w:kern w:val="0"/>
                <w:sz w:val="20"/>
                <w:szCs w:val="20"/>
                <w:lang w:bidi="ar"/>
              </w:rPr>
              <w:t>上海宝钢股份有限公司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4</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铝条</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UOP</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优欧辟环球油品工艺技术有限公司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李赛克</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李赛克机械贸易(上海)有限公司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圣戈班</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圣戈班(中国)投资有限公司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5</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木工板、木饰面板</w:t>
            </w: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莫干山</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浙江升华云峰新材股份有限公司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兔宝宝</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德华兔宝宝装饰新材股份有限公司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大王椰</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杭州大王椰控股集团有限公司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千年舟</w:t>
            </w:r>
          </w:p>
        </w:tc>
        <w:tc>
          <w:tcPr>
            <w:tcW w:w="4700"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千年舟新材科技集团股份有限公司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bl>
    <w:p>
      <w:pPr>
        <w:spacing w:line="360" w:lineRule="auto"/>
        <w:rPr>
          <w:rFonts w:hint="eastAsia" w:ascii="华文楷体" w:hAnsi="华文楷体" w:eastAsia="华文楷体" w:cs="华文楷体"/>
          <w:sz w:val="28"/>
          <w:szCs w:val="28"/>
        </w:rPr>
      </w:pP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2、主要材料技术标准和质量要求如下：</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招标人自行采购的主要材料设备</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楷体" w:hAnsi="华文楷体" w:eastAsia="华文楷体" w:cs="华文楷体"/>
          <w:sz w:val="28"/>
          <w:szCs w:val="28"/>
        </w:rPr>
        <w:t>无。</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六、其他说明</w:t>
      </w:r>
    </w:p>
    <w:p>
      <w:p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各投标人在进行综合报价时必须结合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6A48"/>
    <w:multiLevelType w:val="singleLevel"/>
    <w:tmpl w:val="C7386A48"/>
    <w:lvl w:ilvl="0" w:tentative="0">
      <w:start w:val="1"/>
      <w:numFmt w:val="chineseCounting"/>
      <w:suff w:val="nothing"/>
      <w:lvlText w:val="%1、"/>
      <w:lvlJc w:val="left"/>
      <w:rPr>
        <w:rFonts w:hint="eastAsia"/>
      </w:rPr>
    </w:lvl>
  </w:abstractNum>
  <w:abstractNum w:abstractNumId="1">
    <w:nsid w:val="2AEB87CD"/>
    <w:multiLevelType w:val="singleLevel"/>
    <w:tmpl w:val="2AEB87CD"/>
    <w:lvl w:ilvl="0" w:tentative="0">
      <w:start w:val="2"/>
      <w:numFmt w:val="chineseCounting"/>
      <w:suff w:val="nothing"/>
      <w:lvlText w:val="（%1）"/>
      <w:lvlJc w:val="left"/>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1NzAxNmNlNGRhOGRkYTc3ZjM4OWZhYjZhMzIzMzIifQ=="/>
  </w:docVars>
  <w:rsids>
    <w:rsidRoot w:val="00E80598"/>
    <w:rsid w:val="00003B10"/>
    <w:rsid w:val="00070CA5"/>
    <w:rsid w:val="0008481C"/>
    <w:rsid w:val="000878B4"/>
    <w:rsid w:val="00094F0E"/>
    <w:rsid w:val="000C5F5E"/>
    <w:rsid w:val="00130701"/>
    <w:rsid w:val="001D3A5E"/>
    <w:rsid w:val="001F5DF7"/>
    <w:rsid w:val="00204723"/>
    <w:rsid w:val="00224361"/>
    <w:rsid w:val="00350785"/>
    <w:rsid w:val="003C551D"/>
    <w:rsid w:val="003D4DFA"/>
    <w:rsid w:val="0041308F"/>
    <w:rsid w:val="00425A5D"/>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5637CE9"/>
    <w:rsid w:val="067B4082"/>
    <w:rsid w:val="0840065C"/>
    <w:rsid w:val="0AA00FFF"/>
    <w:rsid w:val="0CC139CA"/>
    <w:rsid w:val="0D071482"/>
    <w:rsid w:val="0E475701"/>
    <w:rsid w:val="0E7618A5"/>
    <w:rsid w:val="0E8C230D"/>
    <w:rsid w:val="0F424FA5"/>
    <w:rsid w:val="10291D80"/>
    <w:rsid w:val="12A83E03"/>
    <w:rsid w:val="13577509"/>
    <w:rsid w:val="13D97736"/>
    <w:rsid w:val="15803988"/>
    <w:rsid w:val="15AE466B"/>
    <w:rsid w:val="16CB38CE"/>
    <w:rsid w:val="16CC55E9"/>
    <w:rsid w:val="17CA0378"/>
    <w:rsid w:val="17E83B2A"/>
    <w:rsid w:val="1837402C"/>
    <w:rsid w:val="196827CF"/>
    <w:rsid w:val="1F6E3E30"/>
    <w:rsid w:val="21471BCB"/>
    <w:rsid w:val="21533141"/>
    <w:rsid w:val="22715C4D"/>
    <w:rsid w:val="22D80382"/>
    <w:rsid w:val="22F333EF"/>
    <w:rsid w:val="23656FC3"/>
    <w:rsid w:val="247875FE"/>
    <w:rsid w:val="24AC52B0"/>
    <w:rsid w:val="255F78C7"/>
    <w:rsid w:val="25F04FD6"/>
    <w:rsid w:val="271E423C"/>
    <w:rsid w:val="2AD07367"/>
    <w:rsid w:val="2BD22118"/>
    <w:rsid w:val="2E975217"/>
    <w:rsid w:val="2F204FF5"/>
    <w:rsid w:val="2F610132"/>
    <w:rsid w:val="323F78FA"/>
    <w:rsid w:val="32CC7242"/>
    <w:rsid w:val="33F322A9"/>
    <w:rsid w:val="342045EA"/>
    <w:rsid w:val="36D80B92"/>
    <w:rsid w:val="38DC5E86"/>
    <w:rsid w:val="398B73E2"/>
    <w:rsid w:val="39BA7CC0"/>
    <w:rsid w:val="3B1D4A86"/>
    <w:rsid w:val="3F8255AA"/>
    <w:rsid w:val="40660CAA"/>
    <w:rsid w:val="40B24332"/>
    <w:rsid w:val="414738E4"/>
    <w:rsid w:val="432A3E3A"/>
    <w:rsid w:val="443167FE"/>
    <w:rsid w:val="455D3D20"/>
    <w:rsid w:val="45A03D5F"/>
    <w:rsid w:val="46E65562"/>
    <w:rsid w:val="475D3B01"/>
    <w:rsid w:val="49B36D66"/>
    <w:rsid w:val="4A3939CF"/>
    <w:rsid w:val="4A60261A"/>
    <w:rsid w:val="4B5A580A"/>
    <w:rsid w:val="4CD23CFB"/>
    <w:rsid w:val="4DF950F2"/>
    <w:rsid w:val="4E5C5B33"/>
    <w:rsid w:val="4E86208F"/>
    <w:rsid w:val="4FC55C1D"/>
    <w:rsid w:val="514F6512"/>
    <w:rsid w:val="52371F69"/>
    <w:rsid w:val="525F3FBA"/>
    <w:rsid w:val="54341495"/>
    <w:rsid w:val="54FF3FE7"/>
    <w:rsid w:val="563F1955"/>
    <w:rsid w:val="5785783C"/>
    <w:rsid w:val="584A1BD1"/>
    <w:rsid w:val="5B775DA6"/>
    <w:rsid w:val="5BCE5477"/>
    <w:rsid w:val="5E880ED9"/>
    <w:rsid w:val="5FD830C4"/>
    <w:rsid w:val="607139DB"/>
    <w:rsid w:val="6138082C"/>
    <w:rsid w:val="61DC6F7F"/>
    <w:rsid w:val="63AA2810"/>
    <w:rsid w:val="63B130AC"/>
    <w:rsid w:val="6417362C"/>
    <w:rsid w:val="64BC6497"/>
    <w:rsid w:val="64F4340D"/>
    <w:rsid w:val="6ABA2C10"/>
    <w:rsid w:val="6B6E1032"/>
    <w:rsid w:val="6B712C83"/>
    <w:rsid w:val="6C766FB1"/>
    <w:rsid w:val="6DA72690"/>
    <w:rsid w:val="6DAE46FA"/>
    <w:rsid w:val="6FA554C1"/>
    <w:rsid w:val="706A75F7"/>
    <w:rsid w:val="7281066B"/>
    <w:rsid w:val="72CC1AE5"/>
    <w:rsid w:val="73B70FED"/>
    <w:rsid w:val="79416F7E"/>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jc w:val="left"/>
    </w:pPr>
    <w:rPr>
      <w:rFonts w:cs="Times New Roman"/>
      <w:kern w:val="0"/>
      <w:sz w:val="24"/>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字符"/>
    <w:basedOn w:val="27"/>
    <w:link w:val="2"/>
    <w:qFormat/>
    <w:uiPriority w:val="99"/>
    <w:rPr>
      <w:rFonts w:ascii="Times New Roman" w:hAnsi="Times New Roman" w:eastAsia="宋体" w:cs="Times New Roman"/>
      <w:b/>
      <w:kern w:val="44"/>
      <w:sz w:val="36"/>
      <w:szCs w:val="36"/>
    </w:rPr>
  </w:style>
  <w:style w:type="character" w:customStyle="1" w:styleId="31">
    <w:name w:val="标题 2 字符1"/>
    <w:basedOn w:val="27"/>
    <w:link w:val="3"/>
    <w:qFormat/>
    <w:uiPriority w:val="9"/>
    <w:rPr>
      <w:rFonts w:ascii="Arial" w:hAnsi="Arial" w:eastAsia="宋体" w:cs="Times New Roman"/>
      <w:b/>
      <w:sz w:val="32"/>
      <w:szCs w:val="20"/>
    </w:rPr>
  </w:style>
  <w:style w:type="character" w:customStyle="1" w:styleId="32">
    <w:name w:val="标题 3 字符"/>
    <w:basedOn w:val="27"/>
    <w:link w:val="5"/>
    <w:qFormat/>
    <w:uiPriority w:val="9"/>
    <w:rPr>
      <w:rFonts w:ascii="宋体"/>
      <w:b/>
      <w:sz w:val="24"/>
    </w:rPr>
  </w:style>
  <w:style w:type="character" w:customStyle="1" w:styleId="33">
    <w:name w:val="标题 字符1"/>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5">
    <w:name w:val="标题 2 字符"/>
    <w:qFormat/>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字符"/>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字符"/>
    <w:basedOn w:val="27"/>
    <w:link w:val="9"/>
    <w:qFormat/>
    <w:uiPriority w:val="0"/>
    <w:rPr>
      <w:rFonts w:ascii="Times New Roman" w:hAnsi="Times New Roman" w:eastAsia="宋体" w:cs="Times New Roman"/>
      <w:szCs w:val="20"/>
    </w:rPr>
  </w:style>
  <w:style w:type="character" w:customStyle="1" w:styleId="45">
    <w:name w:val="页脚 字符"/>
    <w:basedOn w:val="27"/>
    <w:link w:val="14"/>
    <w:qFormat/>
    <w:uiPriority w:val="99"/>
    <w:rPr>
      <w:rFonts w:ascii="Times New Roman" w:hAnsi="Times New Roman" w:eastAsia="宋体" w:cs="Times New Roman"/>
      <w:kern w:val="0"/>
      <w:sz w:val="18"/>
      <w:szCs w:val="18"/>
    </w:rPr>
  </w:style>
  <w:style w:type="character" w:customStyle="1" w:styleId="46">
    <w:name w:val="页眉 字符"/>
    <w:basedOn w:val="27"/>
    <w:link w:val="15"/>
    <w:qFormat/>
    <w:uiPriority w:val="99"/>
    <w:rPr>
      <w:rFonts w:ascii="Times New Roman" w:hAnsi="Times New Roman" w:eastAsia="宋体" w:cs="Times New Roman"/>
      <w:sz w:val="18"/>
      <w:szCs w:val="18"/>
    </w:rPr>
  </w:style>
  <w:style w:type="character" w:customStyle="1" w:styleId="47">
    <w:name w:val="批注框文本 字符"/>
    <w:basedOn w:val="27"/>
    <w:link w:val="13"/>
    <w:qFormat/>
    <w:uiPriority w:val="99"/>
    <w:rPr>
      <w:rFonts w:ascii="Times New Roman" w:hAnsi="Times New Roman" w:eastAsia="宋体" w:cs="Times New Roman"/>
      <w:sz w:val="18"/>
      <w:szCs w:val="18"/>
    </w:rPr>
  </w:style>
  <w:style w:type="character" w:customStyle="1" w:styleId="48">
    <w:name w:val="批注文字 字符"/>
    <w:basedOn w:val="27"/>
    <w:link w:val="7"/>
    <w:qFormat/>
    <w:uiPriority w:val="0"/>
    <w:rPr>
      <w:rFonts w:ascii="Times New Roman" w:hAnsi="Times New Roman" w:eastAsia="宋体" w:cs="Times New Roman"/>
      <w:szCs w:val="24"/>
    </w:rPr>
  </w:style>
  <w:style w:type="character" w:customStyle="1" w:styleId="49">
    <w:name w:val="批注主题 字符"/>
    <w:basedOn w:val="48"/>
    <w:link w:val="24"/>
    <w:qFormat/>
    <w:uiPriority w:val="0"/>
    <w:rPr>
      <w:rFonts w:ascii="Times New Roman" w:hAnsi="Times New Roman" w:eastAsia="宋体" w:cs="Times New Roman"/>
      <w:b/>
      <w:bCs/>
      <w:szCs w:val="24"/>
    </w:rPr>
  </w:style>
  <w:style w:type="paragraph" w:customStyle="1" w:styleId="5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1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字符"/>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2326</Words>
  <Characters>2359</Characters>
  <Lines>29</Lines>
  <Paragraphs>8</Paragraphs>
  <TotalTime>3</TotalTime>
  <ScaleCrop>false</ScaleCrop>
  <LinksUpToDate>false</LinksUpToDate>
  <CharactersWithSpaces>2361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Mr.R</cp:lastModifiedBy>
  <dcterms:modified xsi:type="dcterms:W3CDTF">2023-04-17T07:17:49Z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