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sz w:val="22"/>
        </w:rPr>
      </w:pPr>
      <w:r>
        <w:rPr>
          <w:rFonts w:hint="eastAsia"/>
          <w:sz w:val="22"/>
        </w:rPr>
        <w:t>本项目为</w:t>
      </w:r>
      <w:r>
        <w:rPr>
          <w:rFonts w:hint="eastAsia" w:ascii="宋体" w:hAnsi="宋体" w:eastAsia="宋体" w:cs="宋体"/>
          <w:sz w:val="22"/>
        </w:rPr>
        <w:t>南京大学仙林校区材料系实验室白蚁防治配合施工工程</w:t>
      </w:r>
      <w:r>
        <w:rPr>
          <w:rFonts w:hint="eastAsia"/>
          <w:sz w:val="22"/>
        </w:rPr>
        <w:t>，项目位于南京大学仙林校区内。</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pPr>
      <w:r>
        <w:rPr>
          <w:rFonts w:hint="eastAsia"/>
          <w:sz w:val="22"/>
        </w:rPr>
        <w:t>建设单位下发的图纸中内容，包含但不限于南京大学仙林校区材料系实验室白蚁防治配合施工工程</w:t>
      </w:r>
      <w:r>
        <w:rPr>
          <w:rFonts w:hint="eastAsia"/>
          <w:sz w:val="22"/>
          <w:lang w:val="en-US" w:eastAsia="zh-CN"/>
        </w:rPr>
        <w:t>建筑、结构图</w:t>
      </w:r>
      <w:r>
        <w:rPr>
          <w:rFonts w:hint="eastAsia"/>
          <w:sz w:val="22"/>
        </w:rPr>
        <w:t>等。</w:t>
      </w:r>
    </w:p>
    <w:p>
      <w:pPr>
        <w:spacing w:line="360" w:lineRule="auto"/>
        <w:ind w:firstLine="442" w:firstLineChars="200"/>
        <w:rPr>
          <w:rFonts w:asciiTheme="minorEastAsia" w:hAnsiTheme="minorEastAsia"/>
          <w:b/>
          <w:sz w:val="22"/>
        </w:rPr>
      </w:pPr>
      <w:r>
        <w:rPr>
          <w:rFonts w:hint="eastAsia" w:asciiTheme="minorEastAsia" w:hAnsiTheme="minorEastAsia"/>
          <w:b/>
          <w:sz w:val="22"/>
        </w:rPr>
        <w:t>三、编制依据</w:t>
      </w:r>
    </w:p>
    <w:p>
      <w:pPr>
        <w:spacing w:line="360" w:lineRule="auto"/>
        <w:ind w:firstLine="440" w:firstLineChars="200"/>
        <w:rPr>
          <w:sz w:val="22"/>
        </w:rPr>
      </w:pPr>
      <w:r>
        <w:rPr>
          <w:rFonts w:hint="eastAsia"/>
          <w:sz w:val="22"/>
        </w:rPr>
        <w:t>1、建设单位下发的南京大学仙林校区材料系实验室白蚁防治配合施工工程</w:t>
      </w:r>
      <w:r>
        <w:rPr>
          <w:rFonts w:hint="eastAsia"/>
          <w:sz w:val="22"/>
          <w:lang w:val="en-US" w:eastAsia="zh-CN"/>
        </w:rPr>
        <w:t>建筑图、结构图</w:t>
      </w:r>
      <w:r>
        <w:rPr>
          <w:rFonts w:hint="eastAsia" w:asciiTheme="minorEastAsia" w:hAnsiTheme="minorEastAsia"/>
          <w:sz w:val="22"/>
        </w:rPr>
        <w:t>及其说明</w:t>
      </w:r>
      <w:r>
        <w:rPr>
          <w:rFonts w:hint="eastAsia"/>
          <w:sz w:val="22"/>
        </w:rPr>
        <w:t>。</w:t>
      </w:r>
    </w:p>
    <w:p>
      <w:pPr>
        <w:pStyle w:val="5"/>
        <w:widowControl/>
        <w:spacing w:beforeAutospacing="0" w:afterAutospacing="0" w:line="360" w:lineRule="auto"/>
        <w:ind w:firstLine="440" w:firstLineChars="200"/>
        <w:rPr>
          <w:sz w:val="22"/>
        </w:rPr>
      </w:pPr>
      <w:r>
        <w:rPr>
          <w:rFonts w:hint="eastAsia"/>
          <w:sz w:val="22"/>
        </w:rPr>
        <w:t>2、计量规范：</w:t>
      </w:r>
    </w:p>
    <w:p>
      <w:pPr>
        <w:spacing w:line="360" w:lineRule="auto"/>
        <w:ind w:firstLine="440" w:firstLineChars="200"/>
        <w:rPr>
          <w:rFonts w:hint="eastAsia" w:asciiTheme="minorEastAsia" w:hAnsiTheme="minorEastAsia" w:eastAsiaTheme="minorEastAsia"/>
          <w:sz w:val="22"/>
          <w:lang w:val="en-US" w:eastAsia="zh-CN"/>
        </w:rPr>
      </w:pPr>
      <w:r>
        <w:rPr>
          <w:rFonts w:hint="eastAsia" w:asciiTheme="minorEastAsia" w:hAnsiTheme="minorEastAsia"/>
          <w:sz w:val="22"/>
        </w:rPr>
        <w:t>①《建设工程工程量清单计价规范》（GB</w:t>
      </w:r>
      <w:bookmarkStart w:id="0" w:name="_GoBack"/>
      <w:bookmarkEnd w:id="0"/>
      <w:r>
        <w:rPr>
          <w:rFonts w:hint="eastAsia" w:asciiTheme="minorEastAsia" w:hAnsiTheme="minorEastAsia"/>
          <w:sz w:val="22"/>
        </w:rPr>
        <w:t>50500-2013）</w:t>
      </w:r>
    </w:p>
    <w:p>
      <w:pPr>
        <w:spacing w:line="360" w:lineRule="auto"/>
        <w:ind w:firstLine="440" w:firstLineChars="200"/>
        <w:rPr>
          <w:rFonts w:asciiTheme="minorEastAsia" w:hAnsiTheme="minorEastAsia"/>
          <w:sz w:val="22"/>
        </w:rPr>
      </w:pPr>
      <w:r>
        <w:rPr>
          <w:rFonts w:hint="eastAsia" w:asciiTheme="minorEastAsia" w:hAnsiTheme="minorEastAsia"/>
          <w:sz w:val="22"/>
        </w:rPr>
        <w:t>②《房屋建筑与装饰工程工程量计算规范》（GB50854-2013）</w:t>
      </w:r>
    </w:p>
    <w:p>
      <w:pPr>
        <w:spacing w:line="360" w:lineRule="auto"/>
        <w:ind w:firstLine="440" w:firstLineChars="200"/>
        <w:rPr>
          <w:rFonts w:asciiTheme="minorEastAsia" w:hAnsiTheme="minorEastAsia"/>
          <w:sz w:val="22"/>
        </w:rPr>
      </w:pPr>
      <w:r>
        <w:rPr>
          <w:rFonts w:hint="eastAsia" w:asciiTheme="minorEastAsia" w:hAnsiTheme="minorEastAsia"/>
          <w:sz w:val="22"/>
        </w:rPr>
        <w:t>③《通用安装工程工程量计算规范》（GB50856-2013）</w:t>
      </w:r>
    </w:p>
    <w:p>
      <w:pPr>
        <w:spacing w:line="360" w:lineRule="auto"/>
        <w:ind w:firstLine="440" w:firstLineChars="200"/>
        <w:rPr>
          <w:rFonts w:asciiTheme="minorEastAsia" w:hAnsiTheme="minorEastAsia"/>
          <w:sz w:val="22"/>
        </w:rPr>
      </w:pPr>
      <w:r>
        <w:rPr>
          <w:rFonts w:hint="eastAsia" w:asciiTheme="minorEastAsia" w:hAnsiTheme="minorEastAsia"/>
          <w:sz w:val="22"/>
        </w:rPr>
        <w:t>④《市政工程工程量计算规范》（GB50857-2013）</w:t>
      </w:r>
    </w:p>
    <w:p>
      <w:pPr>
        <w:spacing w:line="360" w:lineRule="auto"/>
        <w:ind w:firstLine="440" w:firstLineChars="200"/>
        <w:rPr>
          <w:sz w:val="22"/>
        </w:rPr>
      </w:pPr>
      <w:r>
        <w:rPr>
          <w:rFonts w:hint="eastAsia"/>
          <w:sz w:val="22"/>
        </w:rPr>
        <w:t>3、与本工程项目有关的标准、施工规范与验收规范。</w:t>
      </w:r>
    </w:p>
    <w:p>
      <w:pPr>
        <w:spacing w:line="360" w:lineRule="auto"/>
        <w:ind w:firstLine="442" w:firstLineChars="200"/>
        <w:rPr>
          <w:rFonts w:asciiTheme="minorEastAsia" w:hAnsiTheme="minorEastAsia"/>
          <w:b/>
          <w:sz w:val="22"/>
        </w:rPr>
      </w:pPr>
      <w:r>
        <w:rPr>
          <w:rFonts w:hint="eastAsia" w:asciiTheme="minorEastAsia" w:hAnsiTheme="minorEastAsia"/>
          <w:b/>
          <w:sz w:val="22"/>
        </w:rPr>
        <w:t>四、取费标准</w:t>
      </w:r>
    </w:p>
    <w:p>
      <w:pPr>
        <w:spacing w:line="360" w:lineRule="auto"/>
        <w:ind w:firstLine="440" w:firstLineChars="200"/>
        <w:rPr>
          <w:sz w:val="22"/>
        </w:rPr>
      </w:pPr>
      <w:r>
        <w:rPr>
          <w:rFonts w:hint="eastAsia"/>
          <w:sz w:val="22"/>
        </w:rPr>
        <w:t>1、《省住房城乡建设厅关于建筑业实施营改增后江苏省建设工程计价依据调整的通知》 苏建价（2016）154号文及相关附件。</w:t>
      </w:r>
    </w:p>
    <w:p>
      <w:pPr>
        <w:spacing w:line="360" w:lineRule="auto"/>
        <w:ind w:firstLine="440" w:firstLineChars="200"/>
        <w:rPr>
          <w:sz w:val="22"/>
        </w:rPr>
      </w:pPr>
      <w:r>
        <w:rPr>
          <w:rFonts w:hint="eastAsia"/>
          <w:sz w:val="22"/>
        </w:rPr>
        <w:t>2、《省住房城乡建设厅关于建筑业增值税计价政策调整的通知》苏建函价（2019）178号文。</w:t>
      </w:r>
    </w:p>
    <w:p>
      <w:pPr>
        <w:spacing w:line="360" w:lineRule="auto"/>
        <w:ind w:firstLine="440" w:firstLineChars="200"/>
        <w:rPr>
          <w:rFonts w:asciiTheme="minorEastAsia" w:hAnsiTheme="minorEastAsia"/>
          <w:sz w:val="22"/>
        </w:rPr>
      </w:pPr>
      <w:r>
        <w:rPr>
          <w:rFonts w:hint="eastAsia" w:asciiTheme="minorEastAsia" w:hAnsiTheme="minorEastAsia"/>
          <w:sz w:val="22"/>
        </w:rPr>
        <w:t>3、安全文明施工措施费计取基本费和扬尘污染防治增加费。</w:t>
      </w:r>
    </w:p>
    <w:p>
      <w:pPr>
        <w:spacing w:line="360" w:lineRule="auto"/>
        <w:ind w:firstLine="440" w:firstLineChars="200"/>
        <w:rPr>
          <w:rFonts w:asciiTheme="minorEastAsia" w:hAnsiTheme="minorEastAsia"/>
          <w:sz w:val="22"/>
        </w:rPr>
      </w:pPr>
      <w:r>
        <w:rPr>
          <w:rFonts w:hint="eastAsia" w:asciiTheme="minorEastAsia" w:hAnsiTheme="minorEastAsia"/>
          <w:sz w:val="22"/>
        </w:rPr>
        <w:t>4、《省住房城乡建设厅关于建筑工人实名制费用计取方法的公告》〔2019〕第19号</w:t>
      </w:r>
    </w:p>
    <w:p>
      <w:pPr>
        <w:spacing w:line="360" w:lineRule="auto"/>
        <w:ind w:firstLine="440" w:firstLineChars="200"/>
        <w:rPr>
          <w:rFonts w:asciiTheme="minorEastAsia" w:hAnsiTheme="minorEastAsia"/>
          <w:sz w:val="22"/>
        </w:rPr>
      </w:pPr>
      <w:r>
        <w:rPr>
          <w:rFonts w:hint="eastAsia" w:asciiTheme="minorEastAsia" w:hAnsiTheme="minorEastAsia"/>
          <w:sz w:val="22"/>
        </w:rPr>
        <w:t>5、政策性文件及报价参考执行投标截止日前省市建委造价有关文件，投标截止日后的省市建委造价文件不予执行。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sz w:val="22"/>
        </w:rPr>
      </w:pPr>
      <w:r>
        <w:rPr>
          <w:rFonts w:hint="eastAsia" w:asciiTheme="minorEastAsia" w:hAnsiTheme="minorEastAsia"/>
          <w:sz w:val="22"/>
        </w:rPr>
        <w:t>6、人工工资参考江苏省建设工程人工工资指导价自主报价，其它费用按照省市建委发布的有关文件及政策规定等执行，报价参考执行投标截止日前省建设厅、市建委造价有关文件。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sz w:val="22"/>
        </w:rPr>
      </w:pPr>
      <w:r>
        <w:rPr>
          <w:rFonts w:hint="eastAsia" w:asciiTheme="minorEastAsia" w:hAnsiTheme="minorEastAsia"/>
          <w:sz w:val="22"/>
        </w:rPr>
        <w:t>7</w:t>
      </w:r>
      <w:r>
        <w:rPr>
          <w:rFonts w:hint="eastAsia"/>
          <w:sz w:val="22"/>
        </w:rPr>
        <w:t>、暂列金额及暂估价：</w:t>
      </w:r>
    </w:p>
    <w:p>
      <w:pPr>
        <w:spacing w:line="360" w:lineRule="auto"/>
        <w:ind w:firstLine="440" w:firstLineChars="200"/>
        <w:rPr>
          <w:rFonts w:hint="default" w:eastAsiaTheme="minorEastAsia"/>
          <w:sz w:val="22"/>
          <w:highlight w:val="none"/>
          <w:lang w:val="en-US" w:eastAsia="zh-CN"/>
        </w:rPr>
      </w:pPr>
      <w:r>
        <w:rPr>
          <w:rFonts w:hint="eastAsia"/>
          <w:sz w:val="22"/>
          <w:highlight w:val="none"/>
        </w:rPr>
        <w:t>（1）暂列金额</w:t>
      </w:r>
      <w:r>
        <w:rPr>
          <w:rFonts w:hint="eastAsia"/>
          <w:color w:val="auto"/>
          <w:sz w:val="22"/>
          <w:highlight w:val="none"/>
        </w:rPr>
        <w:t>：</w:t>
      </w:r>
      <w:r>
        <w:rPr>
          <w:rFonts w:hint="eastAsia"/>
          <w:color w:val="auto"/>
          <w:sz w:val="22"/>
          <w:highlight w:val="none"/>
          <w:lang w:val="en-US" w:eastAsia="zh-CN"/>
        </w:rPr>
        <w:t>土建工</w:t>
      </w:r>
      <w:r>
        <w:rPr>
          <w:rFonts w:hint="eastAsia" w:asciiTheme="minorEastAsia" w:hAnsiTheme="minorEastAsia"/>
          <w:color w:val="auto"/>
          <w:sz w:val="22"/>
          <w:highlight w:val="none"/>
          <w:lang w:val="en-US" w:eastAsia="zh-CN"/>
        </w:rPr>
        <w:t>程7275.92元；</w:t>
      </w:r>
    </w:p>
    <w:p>
      <w:pPr>
        <w:spacing w:line="360" w:lineRule="auto"/>
        <w:ind w:firstLine="440" w:firstLineChars="200"/>
        <w:rPr>
          <w:sz w:val="22"/>
        </w:rPr>
      </w:pPr>
      <w:r>
        <w:rPr>
          <w:rFonts w:hint="eastAsia"/>
          <w:sz w:val="22"/>
        </w:rPr>
        <w:t>（2）暂估价：</w:t>
      </w:r>
      <w:r>
        <w:rPr>
          <w:rFonts w:hint="eastAsia"/>
          <w:color w:val="auto"/>
          <w:sz w:val="22"/>
          <w:highlight w:val="none"/>
          <w:lang w:val="en-US" w:eastAsia="zh-CN"/>
        </w:rPr>
        <w:t>土建工</w:t>
      </w:r>
      <w:r>
        <w:rPr>
          <w:rFonts w:hint="eastAsia" w:asciiTheme="minorEastAsia" w:hAnsiTheme="minorEastAsia"/>
          <w:color w:val="auto"/>
          <w:sz w:val="22"/>
          <w:highlight w:val="none"/>
          <w:lang w:val="en-US" w:eastAsia="zh-CN"/>
        </w:rPr>
        <w:t>程</w:t>
      </w:r>
      <w:r>
        <w:rPr>
          <w:rFonts w:hint="eastAsia" w:asciiTheme="minorEastAsia" w:hAnsiTheme="minorEastAsia"/>
          <w:sz w:val="22"/>
          <w:lang w:val="en-US" w:eastAsia="zh-CN"/>
        </w:rPr>
        <w:t>0元。</w:t>
      </w:r>
    </w:p>
    <w:p>
      <w:pPr>
        <w:spacing w:line="360" w:lineRule="auto"/>
        <w:ind w:firstLine="442" w:firstLineChars="200"/>
        <w:rPr>
          <w:rFonts w:asciiTheme="minorEastAsia" w:hAnsiTheme="minorEastAsia"/>
          <w:b/>
          <w:sz w:val="22"/>
        </w:rPr>
      </w:pPr>
      <w:r>
        <w:rPr>
          <w:rFonts w:hint="eastAsia" w:asciiTheme="minorEastAsia" w:hAnsiTheme="minorEastAsia"/>
          <w:b/>
          <w:sz w:val="22"/>
        </w:rPr>
        <w:t>五、图纸及工程量计算中的相关说明</w:t>
      </w:r>
    </w:p>
    <w:p>
      <w:pPr>
        <w:spacing w:line="360" w:lineRule="auto"/>
        <w:ind w:firstLine="440" w:firstLineChars="200"/>
        <w:rPr>
          <w:rFonts w:ascii="宋体" w:hAnsi="宋体" w:eastAsia="宋体" w:cs="宋体"/>
          <w:sz w:val="22"/>
        </w:rPr>
      </w:pPr>
      <w:r>
        <w:rPr>
          <w:rFonts w:hint="eastAsia" w:ascii="宋体" w:hAnsi="宋体" w:eastAsia="宋体" w:cs="宋体"/>
          <w:sz w:val="22"/>
        </w:rPr>
        <w:t>1、通用部分</w:t>
      </w:r>
    </w:p>
    <w:p>
      <w:pPr>
        <w:spacing w:line="360" w:lineRule="auto"/>
        <w:ind w:firstLine="440" w:firstLineChars="200"/>
        <w:rPr>
          <w:rFonts w:ascii="宋体" w:hAnsi="宋体" w:eastAsia="宋体" w:cs="宋体"/>
          <w:sz w:val="22"/>
        </w:rPr>
      </w:pPr>
      <w:r>
        <w:rPr>
          <w:rFonts w:hint="eastAsia" w:asciiTheme="minorEastAsia" w:hAnsiTheme="minorEastAsia"/>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autoSpaceDE w:val="0"/>
        <w:autoSpaceDN w:val="0"/>
        <w:adjustRightInd w:val="0"/>
        <w:spacing w:line="360" w:lineRule="auto"/>
        <w:ind w:firstLine="440" w:firstLineChars="200"/>
        <w:jc w:val="left"/>
        <w:rPr>
          <w:rFonts w:ascii="宋体" w:hAnsi="宋体" w:eastAsia="宋体" w:cs="宋体"/>
          <w:sz w:val="22"/>
        </w:rPr>
      </w:pPr>
      <w:r>
        <w:rPr>
          <w:rFonts w:hint="eastAsia" w:ascii="宋体" w:hAnsi="宋体" w:eastAsia="宋体" w:cs="宋体"/>
          <w:sz w:val="22"/>
        </w:rPr>
        <w:t>（2）投标人在投标报价时结合现场实际情况考虑在办公区域施工等因素，须做好封闭及安全防护，结算时不再调整。</w:t>
      </w:r>
    </w:p>
    <w:p>
      <w:pPr>
        <w:autoSpaceDE w:val="0"/>
        <w:autoSpaceDN w:val="0"/>
        <w:adjustRightInd w:val="0"/>
        <w:spacing w:line="360" w:lineRule="auto"/>
        <w:ind w:firstLine="440" w:firstLineChars="200"/>
        <w:jc w:val="left"/>
        <w:rPr>
          <w:rFonts w:ascii="宋体" w:hAnsi="宋体" w:eastAsia="宋体" w:cs="宋体"/>
          <w:sz w:val="22"/>
        </w:rPr>
      </w:pPr>
      <w:r>
        <w:rPr>
          <w:rFonts w:hint="eastAsia" w:ascii="宋体" w:hAnsi="宋体" w:eastAsia="宋体" w:cs="宋体"/>
          <w:sz w:val="22"/>
        </w:rPr>
        <w:t>（3）本工程所需报验、报检费用由投标人自行考虑计入到投标报价中。</w:t>
      </w:r>
    </w:p>
    <w:p>
      <w:pPr>
        <w:tabs>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rPr>
        <w:t>（4）</w:t>
      </w:r>
      <w:r>
        <w:rPr>
          <w:rFonts w:hint="eastAsia" w:ascii="宋体" w:hAnsi="宋体" w:eastAsia="宋体" w:cs="宋体"/>
          <w:kern w:val="0"/>
          <w:sz w:val="22"/>
          <w:lang w:val="zh-CN"/>
        </w:rPr>
        <w:t>措施费项目投标单位可自行增添内容，自行报价，未计放部分按优惠考虑，结算时不再调整，投标人在报价中应充分考虑所涉及的各项措施费及风险因素后再进行报价，</w:t>
      </w:r>
      <w:r>
        <w:rPr>
          <w:rFonts w:hint="eastAsia" w:ascii="宋体" w:hAnsi="宋体" w:eastAsia="宋体" w:cs="宋体"/>
          <w:bCs/>
          <w:sz w:val="22"/>
        </w:rPr>
        <w:t>不可竞争费按规定报价。</w:t>
      </w:r>
    </w:p>
    <w:p>
      <w:pPr>
        <w:tabs>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lang w:val="zh-CN"/>
        </w:rPr>
        <w:t>（</w:t>
      </w:r>
      <w:r>
        <w:rPr>
          <w:rFonts w:hint="eastAsia" w:ascii="宋体" w:hAnsi="宋体" w:eastAsia="宋体" w:cs="宋体"/>
          <w:kern w:val="0"/>
          <w:sz w:val="22"/>
        </w:rPr>
        <w:t>5</w:t>
      </w:r>
      <w:r>
        <w:rPr>
          <w:rFonts w:hint="eastAsia" w:ascii="宋体" w:hAnsi="宋体" w:eastAsia="宋体" w:cs="宋体"/>
          <w:kern w:val="0"/>
          <w:sz w:val="22"/>
          <w:lang w:val="zh-CN"/>
        </w:rPr>
        <w:t>）施工现场、交通运输情况及自然地理条件由投标人自行现场勘察，应充分考虑本工程场地现状的特点，可能对工程施工造成的影响并由此增加的费用等，做出考量一并考虑在投标报价中。</w:t>
      </w:r>
    </w:p>
    <w:p>
      <w:pPr>
        <w:tabs>
          <w:tab w:val="left" w:pos="284"/>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lang w:val="zh-CN"/>
        </w:rPr>
        <w:t>（</w:t>
      </w:r>
      <w:r>
        <w:rPr>
          <w:rFonts w:hint="eastAsia" w:ascii="宋体" w:hAnsi="宋体" w:eastAsia="宋体" w:cs="宋体"/>
          <w:kern w:val="0"/>
          <w:sz w:val="22"/>
        </w:rPr>
        <w:t>6</w:t>
      </w:r>
      <w:r>
        <w:rPr>
          <w:rFonts w:hint="eastAsia" w:ascii="宋体" w:hAnsi="宋体" w:eastAsia="宋体" w:cs="宋体"/>
          <w:kern w:val="0"/>
          <w:sz w:val="22"/>
          <w:lang w:val="zh-CN"/>
        </w:rPr>
        <w:t>）清单中项目特征描述不详处，以图纸为准，投标报价时应考虑图纸所示施工要求等一切费用。</w:t>
      </w:r>
    </w:p>
    <w:p>
      <w:pPr>
        <w:tabs>
          <w:tab w:val="left" w:pos="1067"/>
        </w:tabs>
        <w:spacing w:line="360" w:lineRule="auto"/>
        <w:ind w:firstLine="440" w:firstLineChars="200"/>
        <w:rPr>
          <w:rFonts w:ascii="宋体" w:hAnsi="宋体" w:eastAsia="宋体" w:cs="宋体"/>
          <w:sz w:val="22"/>
        </w:rPr>
      </w:pPr>
      <w:r>
        <w:rPr>
          <w:rFonts w:hint="eastAsia" w:ascii="宋体" w:hAnsi="宋体" w:eastAsia="宋体" w:cs="宋体"/>
          <w:kern w:val="0"/>
          <w:sz w:val="22"/>
          <w:lang w:val="zh-CN"/>
        </w:rPr>
        <w:t>（</w:t>
      </w:r>
      <w:r>
        <w:rPr>
          <w:rFonts w:hint="eastAsia" w:ascii="宋体" w:hAnsi="宋体" w:eastAsia="宋体" w:cs="宋体"/>
          <w:kern w:val="0"/>
          <w:sz w:val="22"/>
        </w:rPr>
        <w:t>7</w:t>
      </w:r>
      <w:r>
        <w:rPr>
          <w:rFonts w:hint="eastAsia" w:ascii="宋体" w:hAnsi="宋体" w:eastAsia="宋体" w:cs="宋体"/>
          <w:kern w:val="0"/>
          <w:sz w:val="22"/>
          <w:lang w:val="zh-CN"/>
        </w:rPr>
        <w:t>）本次招标要求投标人在投标时根据招标人提供的主要材料推荐品牌和产品系列，明确投标所选的厂家品牌产品（主要材料品牌和产品系列推荐表附后）。</w:t>
      </w:r>
    </w:p>
    <w:p>
      <w:pPr>
        <w:spacing w:line="360" w:lineRule="auto"/>
        <w:ind w:firstLine="440" w:firstLineChars="200"/>
        <w:rPr>
          <w:rFonts w:ascii="宋体" w:hAnsi="宋体" w:eastAsia="宋体" w:cs="宋体"/>
          <w:sz w:val="22"/>
        </w:rPr>
      </w:pPr>
      <w:r>
        <w:rPr>
          <w:rFonts w:hint="eastAsia" w:ascii="宋体" w:hAnsi="宋体" w:eastAsia="宋体" w:cs="宋体"/>
          <w:sz w:val="22"/>
        </w:rPr>
        <w:t>（8）工地现场应严格执行《南京市扬尘污染防治管理办法》的相关法律、法规，费用由投标人报价时自行考虑。</w:t>
      </w:r>
    </w:p>
    <w:p>
      <w:pPr>
        <w:spacing w:line="360" w:lineRule="auto"/>
        <w:ind w:firstLine="440" w:firstLineChars="200"/>
        <w:rPr>
          <w:rFonts w:ascii="宋体" w:hAnsi="宋体" w:eastAsia="宋体" w:cs="宋体"/>
          <w:sz w:val="22"/>
        </w:rPr>
      </w:pPr>
      <w:r>
        <w:rPr>
          <w:rFonts w:hint="eastAsia" w:ascii="宋体" w:hAnsi="宋体" w:eastAsia="宋体" w:cs="宋体"/>
          <w:sz w:val="22"/>
        </w:rPr>
        <w:t>（9）施工机械进退场及进退场所必须的临时道路费、特殊条件施工增加费、材料运输及堆放等应由投标人充分勘查现场，清单中未列的施工机械进退场费投标人自行综合考虑，费用含在投标报价中，结算是不作调整。</w:t>
      </w:r>
    </w:p>
    <w:p>
      <w:pPr>
        <w:spacing w:line="360" w:lineRule="auto"/>
        <w:ind w:firstLine="440" w:firstLineChars="200"/>
        <w:rPr>
          <w:rFonts w:hint="eastAsia" w:ascii="宋体" w:hAnsi="宋体" w:eastAsia="宋体" w:cs="宋体"/>
          <w:sz w:val="22"/>
        </w:rPr>
      </w:pPr>
      <w:r>
        <w:rPr>
          <w:rFonts w:hint="eastAsia" w:ascii="宋体" w:hAnsi="宋体" w:eastAsia="宋体" w:cs="宋体"/>
          <w:sz w:val="22"/>
        </w:rPr>
        <w:t>（1</w:t>
      </w:r>
      <w:r>
        <w:rPr>
          <w:rFonts w:hint="eastAsia" w:ascii="宋体" w:hAnsi="宋体" w:eastAsia="宋体" w:cs="宋体"/>
          <w:sz w:val="22"/>
          <w:lang w:val="en-US" w:eastAsia="zh-CN"/>
        </w:rPr>
        <w:t>0</w:t>
      </w:r>
      <w:r>
        <w:rPr>
          <w:rFonts w:hint="eastAsia" w:ascii="宋体" w:hAnsi="宋体" w:eastAsia="宋体" w:cs="宋体"/>
          <w:sz w:val="22"/>
        </w:rPr>
        <w:t>）本工程施工外部协调工作由投标人负责，投标人应充分考虑周边地域情况，并将此费用考虑在投标报价中，结算时发包人不再为此增加费用。</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numPr>
          <w:ilvl w:val="0"/>
          <w:numId w:val="1"/>
        </w:numPr>
        <w:spacing w:line="360" w:lineRule="auto"/>
        <w:ind w:firstLine="440" w:firstLineChars="200"/>
        <w:rPr>
          <w:rFonts w:asciiTheme="minorEastAsia" w:hAnsiTheme="minorEastAsia"/>
          <w:sz w:val="22"/>
        </w:rPr>
      </w:pPr>
      <w:r>
        <w:rPr>
          <w:rFonts w:hint="eastAsia" w:asciiTheme="minorEastAsia" w:hAnsiTheme="minorEastAsia"/>
          <w:sz w:val="22"/>
        </w:rPr>
        <w:t>本项目主要材料品牌推荐表如下：</w:t>
      </w:r>
    </w:p>
    <w:tbl>
      <w:tblPr>
        <w:tblStyle w:val="6"/>
        <w:tblW w:w="9025" w:type="dxa"/>
        <w:tblInd w:w="0" w:type="dxa"/>
        <w:tblLayout w:type="fixed"/>
        <w:tblCellMar>
          <w:top w:w="0" w:type="dxa"/>
          <w:left w:w="0" w:type="dxa"/>
          <w:bottom w:w="0" w:type="dxa"/>
          <w:right w:w="0" w:type="dxa"/>
        </w:tblCellMar>
      </w:tblPr>
      <w:tblGrid>
        <w:gridCol w:w="517"/>
        <w:gridCol w:w="1622"/>
        <w:gridCol w:w="2126"/>
        <w:gridCol w:w="3365"/>
        <w:gridCol w:w="1395"/>
      </w:tblGrid>
      <w:tr>
        <w:tblPrEx>
          <w:tblCellMar>
            <w:top w:w="0" w:type="dxa"/>
            <w:left w:w="0" w:type="dxa"/>
            <w:bottom w:w="0" w:type="dxa"/>
            <w:right w:w="0" w:type="dxa"/>
          </w:tblCellMar>
        </w:tblPrEx>
        <w:trPr>
          <w:trHeight w:val="499" w:hRule="atLeast"/>
        </w:trPr>
        <w:tc>
          <w:tcPr>
            <w:tcW w:w="5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序号</w:t>
            </w:r>
          </w:p>
        </w:tc>
        <w:tc>
          <w:tcPr>
            <w:tcW w:w="16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材料设备名称</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推荐品牌、系列</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制造商或总经销商</w:t>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备注</w:t>
            </w:r>
          </w:p>
        </w:tc>
      </w:tr>
      <w:tr>
        <w:tblPrEx>
          <w:tblCellMar>
            <w:top w:w="0" w:type="dxa"/>
            <w:left w:w="0" w:type="dxa"/>
            <w:bottom w:w="0" w:type="dxa"/>
            <w:right w:w="0" w:type="dxa"/>
          </w:tblCellMar>
        </w:tblPrEx>
        <w:trPr>
          <w:trHeight w:val="499" w:hRule="atLeast"/>
        </w:trPr>
        <w:tc>
          <w:tcPr>
            <w:tcW w:w="517" w:type="dxa"/>
            <w:vMerge w:val="restart"/>
            <w:tcBorders>
              <w:left w:val="single" w:color="000000" w:sz="4" w:space="0"/>
              <w:right w:val="single" w:color="000000" w:sz="4" w:space="0"/>
            </w:tcBorders>
            <w:tcMar>
              <w:top w:w="12" w:type="dxa"/>
              <w:left w:w="12" w:type="dxa"/>
              <w:right w:w="12" w:type="dxa"/>
            </w:tcMar>
            <w:vAlign w:val="center"/>
          </w:tcPr>
          <w:p>
            <w:pPr>
              <w:jc w:val="center"/>
              <w:rPr>
                <w:rFonts w:hint="default"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t>1</w:t>
            </w:r>
          </w:p>
        </w:tc>
        <w:tc>
          <w:tcPr>
            <w:tcW w:w="1622" w:type="dxa"/>
            <w:vMerge w:val="restart"/>
            <w:tcBorders>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水泥</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海螺</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fldChar w:fldCharType="begin"/>
            </w:r>
            <w:r>
              <w:rPr>
                <w:rFonts w:hint="eastAsia" w:ascii="宋体" w:hAnsi="宋体" w:cs="宋体"/>
                <w:color w:val="auto"/>
                <w:sz w:val="20"/>
                <w:szCs w:val="20"/>
                <w:u w:val="none"/>
                <w:lang w:val="en-US" w:eastAsia="zh-CN"/>
              </w:rPr>
              <w:instrText xml:space="preserve"> HYPERLINK "供应商基本信息/安徽海螺水泥股份有限公司" </w:instrText>
            </w:r>
            <w:r>
              <w:rPr>
                <w:rFonts w:hint="eastAsia" w:ascii="宋体" w:hAnsi="宋体" w:cs="宋体"/>
                <w:color w:val="auto"/>
                <w:sz w:val="20"/>
                <w:szCs w:val="20"/>
                <w:u w:val="none"/>
                <w:lang w:val="en-US" w:eastAsia="zh-CN"/>
              </w:rPr>
              <w:fldChar w:fldCharType="separate"/>
            </w:r>
            <w:r>
              <w:rPr>
                <w:rFonts w:hint="eastAsia" w:ascii="宋体" w:hAnsi="宋体" w:cs="宋体"/>
                <w:color w:val="auto"/>
                <w:sz w:val="20"/>
                <w:szCs w:val="20"/>
                <w:u w:val="none"/>
                <w:lang w:val="en-US" w:eastAsia="zh-CN"/>
              </w:rPr>
              <w:t>安徽海螺水泥股份有限公司</w:t>
            </w:r>
            <w:r>
              <w:rPr>
                <w:rFonts w:hint="eastAsia" w:ascii="宋体" w:hAnsi="宋体" w:cs="宋体"/>
                <w:color w:val="auto"/>
                <w:sz w:val="20"/>
                <w:szCs w:val="20"/>
                <w:u w:val="none"/>
                <w:lang w:val="en-US" w:eastAsia="zh-CN"/>
              </w:rPr>
              <w:fldChar w:fldCharType="end"/>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p>
        </w:tc>
      </w:tr>
      <w:tr>
        <w:tblPrEx>
          <w:tblCellMar>
            <w:top w:w="0" w:type="dxa"/>
            <w:left w:w="0" w:type="dxa"/>
            <w:bottom w:w="0" w:type="dxa"/>
            <w:right w:w="0" w:type="dxa"/>
          </w:tblCellMar>
        </w:tblPrEx>
        <w:trPr>
          <w:trHeight w:val="499" w:hRule="atLeast"/>
        </w:trPr>
        <w:tc>
          <w:tcPr>
            <w:tcW w:w="517" w:type="dxa"/>
            <w:vMerge w:val="continue"/>
            <w:tcBorders>
              <w:left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p>
        </w:tc>
        <w:tc>
          <w:tcPr>
            <w:tcW w:w="1622"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鹤林</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fldChar w:fldCharType="begin"/>
            </w:r>
            <w:r>
              <w:rPr>
                <w:rFonts w:hint="eastAsia" w:ascii="宋体" w:hAnsi="宋体" w:cs="宋体"/>
                <w:color w:val="auto"/>
                <w:sz w:val="20"/>
                <w:szCs w:val="20"/>
                <w:u w:val="none"/>
                <w:lang w:val="en-US" w:eastAsia="zh-CN"/>
              </w:rPr>
              <w:instrText xml:space="preserve"> HYPERLINK "供应商基本信息/江苏鹤林水泥有限公司" </w:instrText>
            </w:r>
            <w:r>
              <w:rPr>
                <w:rFonts w:hint="eastAsia" w:ascii="宋体" w:hAnsi="宋体" w:cs="宋体"/>
                <w:color w:val="auto"/>
                <w:sz w:val="20"/>
                <w:szCs w:val="20"/>
                <w:u w:val="none"/>
                <w:lang w:val="en-US" w:eastAsia="zh-CN"/>
              </w:rPr>
              <w:fldChar w:fldCharType="separate"/>
            </w:r>
            <w:r>
              <w:rPr>
                <w:rFonts w:hint="eastAsia" w:ascii="宋体" w:hAnsi="宋体" w:cs="宋体"/>
                <w:color w:val="auto"/>
                <w:sz w:val="20"/>
                <w:szCs w:val="20"/>
                <w:u w:val="none"/>
                <w:lang w:val="en-US" w:eastAsia="zh-CN"/>
              </w:rPr>
              <w:t>江苏鹤林水泥有限公司</w:t>
            </w:r>
            <w:r>
              <w:rPr>
                <w:rFonts w:hint="eastAsia" w:ascii="宋体" w:hAnsi="宋体" w:cs="宋体"/>
                <w:color w:val="auto"/>
                <w:sz w:val="20"/>
                <w:szCs w:val="20"/>
                <w:u w:val="none"/>
                <w:lang w:val="en-US" w:eastAsia="zh-CN"/>
              </w:rPr>
              <w:fldChar w:fldCharType="end"/>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p>
        </w:tc>
      </w:tr>
      <w:tr>
        <w:tblPrEx>
          <w:tblCellMar>
            <w:top w:w="0" w:type="dxa"/>
            <w:left w:w="0" w:type="dxa"/>
            <w:bottom w:w="0" w:type="dxa"/>
            <w:right w:w="0" w:type="dxa"/>
          </w:tblCellMar>
        </w:tblPrEx>
        <w:trPr>
          <w:trHeight w:val="499" w:hRule="atLeast"/>
        </w:trPr>
        <w:tc>
          <w:tcPr>
            <w:tcW w:w="517"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p>
        </w:tc>
        <w:tc>
          <w:tcPr>
            <w:tcW w:w="1622"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宋体" w:hAnsi="宋体" w:cs="宋体"/>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中联</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fldChar w:fldCharType="begin"/>
            </w:r>
            <w:r>
              <w:rPr>
                <w:rFonts w:hint="eastAsia" w:ascii="宋体" w:hAnsi="宋体" w:cs="宋体"/>
                <w:color w:val="auto"/>
                <w:sz w:val="20"/>
                <w:szCs w:val="20"/>
                <w:u w:val="none"/>
                <w:lang w:val="en-US" w:eastAsia="zh-CN"/>
              </w:rPr>
              <w:instrText xml:space="preserve"> HYPERLINK "供应商基本信息/中国联合水泥集团有限公司" </w:instrText>
            </w:r>
            <w:r>
              <w:rPr>
                <w:rFonts w:hint="eastAsia" w:ascii="宋体" w:hAnsi="宋体" w:cs="宋体"/>
                <w:color w:val="auto"/>
                <w:sz w:val="20"/>
                <w:szCs w:val="20"/>
                <w:u w:val="none"/>
                <w:lang w:val="en-US" w:eastAsia="zh-CN"/>
              </w:rPr>
              <w:fldChar w:fldCharType="separate"/>
            </w:r>
            <w:r>
              <w:rPr>
                <w:rFonts w:hint="eastAsia" w:ascii="宋体" w:hAnsi="宋体" w:cs="宋体"/>
                <w:color w:val="auto"/>
                <w:sz w:val="20"/>
                <w:szCs w:val="20"/>
                <w:u w:val="none"/>
                <w:lang w:val="en-US" w:eastAsia="zh-CN"/>
              </w:rPr>
              <w:t>中国联合水泥集团有限公司</w:t>
            </w:r>
            <w:r>
              <w:rPr>
                <w:rFonts w:hint="eastAsia" w:ascii="宋体" w:hAnsi="宋体" w:cs="宋体"/>
                <w:color w:val="auto"/>
                <w:sz w:val="20"/>
                <w:szCs w:val="20"/>
                <w:u w:val="none"/>
                <w:lang w:val="en-US" w:eastAsia="zh-CN"/>
              </w:rPr>
              <w:fldChar w:fldCharType="end"/>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宋体" w:hAnsi="宋体" w:cs="宋体"/>
                <w:color w:val="auto"/>
                <w:sz w:val="20"/>
                <w:szCs w:val="20"/>
                <w:u w:val="none"/>
                <w:lang w:val="en-US" w:eastAsia="zh-CN"/>
              </w:rPr>
            </w:pPr>
          </w:p>
        </w:tc>
      </w:tr>
    </w:tbl>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2</w:t>
      </w:r>
      <w:r>
        <w:rPr>
          <w:rFonts w:hint="eastAsia" w:asciiTheme="minorEastAsia" w:hAnsiTheme="minorEastAsia"/>
          <w:sz w:val="22"/>
        </w:rPr>
        <w:t>、主要材料技术标准和质量要求如下：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widowControl/>
        <w:shd w:val="clear" w:color="auto" w:fill="FFFFFF"/>
        <w:spacing w:line="360" w:lineRule="auto"/>
        <w:ind w:firstLine="422" w:firstLineChars="200"/>
        <w:jc w:val="left"/>
        <w:rPr>
          <w:rFonts w:ascii="宋体" w:hAnsi="宋体" w:cs="宋体"/>
          <w:b/>
          <w:kern w:val="0"/>
          <w:szCs w:val="21"/>
        </w:rPr>
      </w:pPr>
      <w:r>
        <w:rPr>
          <w:rFonts w:hint="eastAsia" w:ascii="宋体" w:hAnsi="宋体" w:cs="宋体"/>
          <w:b/>
          <w:kern w:val="0"/>
          <w:szCs w:val="21"/>
          <w:lang w:val="en-US" w:eastAsia="zh-CN"/>
        </w:rPr>
        <w:t>3</w:t>
      </w:r>
      <w:r>
        <w:rPr>
          <w:rFonts w:hint="eastAsia" w:ascii="宋体" w:hAnsi="宋体" w:cs="宋体"/>
          <w:b/>
          <w:kern w:val="0"/>
          <w:szCs w:val="21"/>
        </w:rPr>
        <w:t>、本工程所有由投标单位自行采购的材料设备的质保期不得低于工程质量保修期（自工程竣工验收合格之日起2年）。</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47C46"/>
    <w:multiLevelType w:val="singleLevel"/>
    <w:tmpl w:val="D6B47C4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FlYmQ3NTYwNmFhZmRmNWZlZjEwZTNhMjU1MzY4ZGIifQ=="/>
  </w:docVars>
  <w:rsids>
    <w:rsidRoot w:val="007216EE"/>
    <w:rsid w:val="00043BF7"/>
    <w:rsid w:val="00055A03"/>
    <w:rsid w:val="000918CE"/>
    <w:rsid w:val="000B4442"/>
    <w:rsid w:val="000E4EFC"/>
    <w:rsid w:val="000F0F71"/>
    <w:rsid w:val="000F6781"/>
    <w:rsid w:val="00110532"/>
    <w:rsid w:val="00111755"/>
    <w:rsid w:val="0018274C"/>
    <w:rsid w:val="00182CF0"/>
    <w:rsid w:val="001918E0"/>
    <w:rsid w:val="001A1B2F"/>
    <w:rsid w:val="001E05DA"/>
    <w:rsid w:val="001E4483"/>
    <w:rsid w:val="002227D3"/>
    <w:rsid w:val="002365A9"/>
    <w:rsid w:val="00261507"/>
    <w:rsid w:val="002C7843"/>
    <w:rsid w:val="002F4B81"/>
    <w:rsid w:val="0035412E"/>
    <w:rsid w:val="00365827"/>
    <w:rsid w:val="00394EF6"/>
    <w:rsid w:val="003B5E79"/>
    <w:rsid w:val="003E07BA"/>
    <w:rsid w:val="003E6A22"/>
    <w:rsid w:val="00403F89"/>
    <w:rsid w:val="00410A2B"/>
    <w:rsid w:val="004237B9"/>
    <w:rsid w:val="00480D2C"/>
    <w:rsid w:val="004D0895"/>
    <w:rsid w:val="005136AA"/>
    <w:rsid w:val="0052678C"/>
    <w:rsid w:val="00531B35"/>
    <w:rsid w:val="00591850"/>
    <w:rsid w:val="005A65A1"/>
    <w:rsid w:val="005C1C94"/>
    <w:rsid w:val="005D1E3B"/>
    <w:rsid w:val="006076DB"/>
    <w:rsid w:val="00640023"/>
    <w:rsid w:val="006C1D24"/>
    <w:rsid w:val="007216EE"/>
    <w:rsid w:val="007E10E0"/>
    <w:rsid w:val="00847CE5"/>
    <w:rsid w:val="00864452"/>
    <w:rsid w:val="00876B6F"/>
    <w:rsid w:val="008E148A"/>
    <w:rsid w:val="00917415"/>
    <w:rsid w:val="00934BB6"/>
    <w:rsid w:val="00955791"/>
    <w:rsid w:val="00965503"/>
    <w:rsid w:val="00991360"/>
    <w:rsid w:val="009E6462"/>
    <w:rsid w:val="00AA43BF"/>
    <w:rsid w:val="00AA5070"/>
    <w:rsid w:val="00AC5CB5"/>
    <w:rsid w:val="00AD1268"/>
    <w:rsid w:val="00AE6169"/>
    <w:rsid w:val="00AF3547"/>
    <w:rsid w:val="00BE494A"/>
    <w:rsid w:val="00BF0684"/>
    <w:rsid w:val="00C30855"/>
    <w:rsid w:val="00CA0BD4"/>
    <w:rsid w:val="00CC4D60"/>
    <w:rsid w:val="00D3387F"/>
    <w:rsid w:val="00D77557"/>
    <w:rsid w:val="00D92B20"/>
    <w:rsid w:val="00DA1ACD"/>
    <w:rsid w:val="00E9617C"/>
    <w:rsid w:val="00EB1028"/>
    <w:rsid w:val="00EE0655"/>
    <w:rsid w:val="00EF2517"/>
    <w:rsid w:val="00F029B1"/>
    <w:rsid w:val="00F466B8"/>
    <w:rsid w:val="00F477A8"/>
    <w:rsid w:val="00F54A72"/>
    <w:rsid w:val="00F654CE"/>
    <w:rsid w:val="00FF158D"/>
    <w:rsid w:val="02204DB8"/>
    <w:rsid w:val="024355BC"/>
    <w:rsid w:val="0297662F"/>
    <w:rsid w:val="02AA2545"/>
    <w:rsid w:val="02F64606"/>
    <w:rsid w:val="031C1FBA"/>
    <w:rsid w:val="033D7FE9"/>
    <w:rsid w:val="04160610"/>
    <w:rsid w:val="053A5DCC"/>
    <w:rsid w:val="053D49F5"/>
    <w:rsid w:val="07413A95"/>
    <w:rsid w:val="086E1AA3"/>
    <w:rsid w:val="087852BE"/>
    <w:rsid w:val="0978555B"/>
    <w:rsid w:val="09BF4F3D"/>
    <w:rsid w:val="0A122D09"/>
    <w:rsid w:val="0A3741F2"/>
    <w:rsid w:val="0C7F4BB4"/>
    <w:rsid w:val="0CF31723"/>
    <w:rsid w:val="0CFB4557"/>
    <w:rsid w:val="0D361CEC"/>
    <w:rsid w:val="0DC56367"/>
    <w:rsid w:val="0F254D07"/>
    <w:rsid w:val="0FB2215B"/>
    <w:rsid w:val="10413050"/>
    <w:rsid w:val="11CB154F"/>
    <w:rsid w:val="14EC4A48"/>
    <w:rsid w:val="15653BFE"/>
    <w:rsid w:val="15CD3F7A"/>
    <w:rsid w:val="171A6359"/>
    <w:rsid w:val="176A1821"/>
    <w:rsid w:val="185F1DCD"/>
    <w:rsid w:val="19E6719A"/>
    <w:rsid w:val="1A7510BF"/>
    <w:rsid w:val="1B952D36"/>
    <w:rsid w:val="1E110B10"/>
    <w:rsid w:val="1E23363C"/>
    <w:rsid w:val="1FBF6A26"/>
    <w:rsid w:val="21AA2752"/>
    <w:rsid w:val="21DE6FDD"/>
    <w:rsid w:val="23B71F71"/>
    <w:rsid w:val="242F6132"/>
    <w:rsid w:val="25CB4FC5"/>
    <w:rsid w:val="284468C4"/>
    <w:rsid w:val="28786771"/>
    <w:rsid w:val="2941397E"/>
    <w:rsid w:val="29E11C7D"/>
    <w:rsid w:val="29F3709C"/>
    <w:rsid w:val="2A201CAE"/>
    <w:rsid w:val="2A4763EA"/>
    <w:rsid w:val="2A7B2593"/>
    <w:rsid w:val="2B342280"/>
    <w:rsid w:val="2B422A10"/>
    <w:rsid w:val="2BC03148"/>
    <w:rsid w:val="2C783ECF"/>
    <w:rsid w:val="2C8B1AA4"/>
    <w:rsid w:val="2CC51C54"/>
    <w:rsid w:val="2D2B61B9"/>
    <w:rsid w:val="2E370064"/>
    <w:rsid w:val="2F8B7D26"/>
    <w:rsid w:val="2FB620CB"/>
    <w:rsid w:val="302F1E8A"/>
    <w:rsid w:val="32672F3B"/>
    <w:rsid w:val="32DD7F4A"/>
    <w:rsid w:val="33AE481D"/>
    <w:rsid w:val="348B10EC"/>
    <w:rsid w:val="35101668"/>
    <w:rsid w:val="360E7429"/>
    <w:rsid w:val="37EF65B5"/>
    <w:rsid w:val="38CF5396"/>
    <w:rsid w:val="39347642"/>
    <w:rsid w:val="397F6DBC"/>
    <w:rsid w:val="399D7242"/>
    <w:rsid w:val="39BF5B4E"/>
    <w:rsid w:val="3A242E1F"/>
    <w:rsid w:val="3A83228C"/>
    <w:rsid w:val="3A8D6CAA"/>
    <w:rsid w:val="3A9C2883"/>
    <w:rsid w:val="3B547DD5"/>
    <w:rsid w:val="3C166A82"/>
    <w:rsid w:val="3C49544C"/>
    <w:rsid w:val="3C7053F5"/>
    <w:rsid w:val="3C784DE9"/>
    <w:rsid w:val="3C8722FF"/>
    <w:rsid w:val="3D036CE4"/>
    <w:rsid w:val="3DE15F8C"/>
    <w:rsid w:val="3E0C0DE5"/>
    <w:rsid w:val="3F125229"/>
    <w:rsid w:val="40445040"/>
    <w:rsid w:val="40EE2423"/>
    <w:rsid w:val="41134D68"/>
    <w:rsid w:val="414D06A7"/>
    <w:rsid w:val="41946A63"/>
    <w:rsid w:val="422E000D"/>
    <w:rsid w:val="432C4D27"/>
    <w:rsid w:val="43B80C29"/>
    <w:rsid w:val="4405152B"/>
    <w:rsid w:val="451640F7"/>
    <w:rsid w:val="468A6765"/>
    <w:rsid w:val="470E79D1"/>
    <w:rsid w:val="48403CBB"/>
    <w:rsid w:val="4A156EAD"/>
    <w:rsid w:val="4A9F72BE"/>
    <w:rsid w:val="4B0233A9"/>
    <w:rsid w:val="4B6A2B20"/>
    <w:rsid w:val="4B832328"/>
    <w:rsid w:val="4C320E80"/>
    <w:rsid w:val="4D072284"/>
    <w:rsid w:val="4D710818"/>
    <w:rsid w:val="4DB82068"/>
    <w:rsid w:val="4F2742A4"/>
    <w:rsid w:val="51D856CF"/>
    <w:rsid w:val="51F66438"/>
    <w:rsid w:val="535951D1"/>
    <w:rsid w:val="545D67F2"/>
    <w:rsid w:val="54CB2C0C"/>
    <w:rsid w:val="55B1434A"/>
    <w:rsid w:val="564D7F58"/>
    <w:rsid w:val="5A1A69A6"/>
    <w:rsid w:val="5A845B89"/>
    <w:rsid w:val="5C532C27"/>
    <w:rsid w:val="5D0453E2"/>
    <w:rsid w:val="5E1A5D3B"/>
    <w:rsid w:val="5E581C4F"/>
    <w:rsid w:val="5EB36A3D"/>
    <w:rsid w:val="639C5ABE"/>
    <w:rsid w:val="63B4645C"/>
    <w:rsid w:val="63F1318A"/>
    <w:rsid w:val="64F22811"/>
    <w:rsid w:val="65307112"/>
    <w:rsid w:val="674557A3"/>
    <w:rsid w:val="6A52276F"/>
    <w:rsid w:val="6C522502"/>
    <w:rsid w:val="6EE23434"/>
    <w:rsid w:val="6FDD23C1"/>
    <w:rsid w:val="70425AFD"/>
    <w:rsid w:val="70B56644"/>
    <w:rsid w:val="70C11497"/>
    <w:rsid w:val="70F353BF"/>
    <w:rsid w:val="71BF7B93"/>
    <w:rsid w:val="72347190"/>
    <w:rsid w:val="732D264C"/>
    <w:rsid w:val="73A15849"/>
    <w:rsid w:val="73AA3617"/>
    <w:rsid w:val="73E4483D"/>
    <w:rsid w:val="74EA637A"/>
    <w:rsid w:val="759210D1"/>
    <w:rsid w:val="759F543B"/>
    <w:rsid w:val="77684485"/>
    <w:rsid w:val="77CA50CB"/>
    <w:rsid w:val="79947395"/>
    <w:rsid w:val="7B332489"/>
    <w:rsid w:val="7B8A4096"/>
    <w:rsid w:val="7B9F5FA1"/>
    <w:rsid w:val="7D3870D3"/>
    <w:rsid w:val="7D4D1F73"/>
    <w:rsid w:val="7DBF4A67"/>
    <w:rsid w:val="7E377B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autoRedefine/>
    <w:unhideWhenUsed/>
    <w:qFormat/>
    <w:uiPriority w:val="99"/>
    <w:pPr>
      <w:tabs>
        <w:tab w:val="center" w:pos="4153"/>
        <w:tab w:val="right" w:pos="8306"/>
      </w:tabs>
      <w:snapToGrid w:val="0"/>
      <w:jc w:val="left"/>
    </w:pPr>
    <w:rPr>
      <w:sz w:val="18"/>
      <w:szCs w:val="18"/>
    </w:rPr>
  </w:style>
  <w:style w:type="paragraph" w:styleId="3">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5">
    <w:name w:val="Normal (Web)"/>
    <w:basedOn w:val="1"/>
    <w:autoRedefine/>
    <w:semiHidden/>
    <w:unhideWhenUsed/>
    <w:qFormat/>
    <w:uiPriority w:val="99"/>
    <w:pPr>
      <w:spacing w:beforeAutospacing="1" w:afterAutospacing="1"/>
      <w:jc w:val="left"/>
    </w:pPr>
    <w:rPr>
      <w:rFonts w:cs="Times New Roman"/>
      <w:kern w:val="0"/>
      <w:sz w:val="24"/>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autoRedefine/>
    <w:semiHidden/>
    <w:unhideWhenUsed/>
    <w:qFormat/>
    <w:uiPriority w:val="99"/>
    <w:rPr>
      <w:color w:val="0000FF"/>
      <w:u w:val="single"/>
    </w:rPr>
  </w:style>
  <w:style w:type="character" w:customStyle="1" w:styleId="10">
    <w:name w:val="页眉 Char"/>
    <w:basedOn w:val="8"/>
    <w:link w:val="3"/>
    <w:autoRedefine/>
    <w:qFormat/>
    <w:uiPriority w:val="99"/>
    <w:rPr>
      <w:sz w:val="18"/>
      <w:szCs w:val="18"/>
    </w:rPr>
  </w:style>
  <w:style w:type="character" w:customStyle="1" w:styleId="11">
    <w:name w:val="页脚 Char"/>
    <w:basedOn w:val="8"/>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2640</Words>
  <Characters>2716</Characters>
  <Lines>61</Lines>
  <Paragraphs>17</Paragraphs>
  <TotalTime>5</TotalTime>
  <ScaleCrop>false</ScaleCrop>
  <LinksUpToDate>false</LinksUpToDate>
  <CharactersWithSpaces>2717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2023-09-21T09:21:00Z</dcterms:created>
  <dc:creator>lujinzhi</dc:creator>
  <cp:lastModifiedBy>漂流瓶18351002007</cp:lastModifiedBy>
  <dcterms:modified xsi:type="dcterms:W3CDTF">2024-08-08T09:03:39Z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