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7E61" w:rsidRDefault="00DD09B9">
      <w:pPr>
        <w:jc w:val="center"/>
        <w:rPr>
          <w:rFonts w:ascii="华文楷体" w:eastAsia="华文楷体" w:hAnsi="华文楷体" w:cs="华文楷体"/>
          <w:b/>
          <w:sz w:val="40"/>
          <w:szCs w:val="40"/>
        </w:rPr>
      </w:pPr>
      <w:r>
        <w:rPr>
          <w:rFonts w:ascii="华文楷体" w:eastAsia="华文楷体" w:hAnsi="华文楷体" w:cs="华文楷体" w:hint="eastAsia"/>
          <w:b/>
          <w:sz w:val="40"/>
          <w:szCs w:val="40"/>
        </w:rPr>
        <w:t>清单编制说明</w:t>
      </w:r>
    </w:p>
    <w:p w:rsidR="000E7E61" w:rsidRDefault="00DD09B9">
      <w:pPr>
        <w:numPr>
          <w:ilvl w:val="0"/>
          <w:numId w:val="1"/>
        </w:num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工程概况</w:t>
      </w:r>
    </w:p>
    <w:p w:rsidR="000E7E61" w:rsidRDefault="00DD09B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本项目为</w:t>
      </w:r>
      <w:r>
        <w:rPr>
          <w:rFonts w:ascii="华文楷体" w:eastAsia="华文楷体" w:hAnsi="华文楷体" w:cs="华文楷体" w:hint="eastAsia"/>
          <w:sz w:val="28"/>
          <w:szCs w:val="28"/>
        </w:rPr>
        <w:t>南京大学</w:t>
      </w:r>
      <w:proofErr w:type="gramStart"/>
      <w:r>
        <w:rPr>
          <w:rFonts w:ascii="华文楷体" w:eastAsia="华文楷体" w:hAnsi="华文楷体" w:cs="华文楷体" w:hint="eastAsia"/>
          <w:sz w:val="28"/>
          <w:szCs w:val="28"/>
        </w:rPr>
        <w:t>仙</w:t>
      </w:r>
      <w:proofErr w:type="gramEnd"/>
      <w:r>
        <w:rPr>
          <w:rFonts w:ascii="华文楷体" w:eastAsia="华文楷体" w:hAnsi="华文楷体" w:cs="华文楷体" w:hint="eastAsia"/>
          <w:sz w:val="28"/>
          <w:szCs w:val="28"/>
        </w:rPr>
        <w:t>林校区电子科学与工程学院防火窗更换工程</w:t>
      </w:r>
      <w:r>
        <w:rPr>
          <w:rFonts w:ascii="华文楷体" w:eastAsia="华文楷体" w:hAnsi="华文楷体" w:cs="华文楷体" w:hint="eastAsia"/>
          <w:sz w:val="28"/>
          <w:szCs w:val="28"/>
        </w:rPr>
        <w:t>，项目位于南京大学</w:t>
      </w:r>
      <w:proofErr w:type="gramStart"/>
      <w:r>
        <w:rPr>
          <w:rFonts w:ascii="华文楷体" w:eastAsia="华文楷体" w:hAnsi="华文楷体" w:cs="华文楷体" w:hint="eastAsia"/>
          <w:sz w:val="28"/>
          <w:szCs w:val="28"/>
        </w:rPr>
        <w:t>仙</w:t>
      </w:r>
      <w:proofErr w:type="gramEnd"/>
      <w:r>
        <w:rPr>
          <w:rFonts w:ascii="华文楷体" w:eastAsia="华文楷体" w:hAnsi="华文楷体" w:cs="华文楷体" w:hint="eastAsia"/>
          <w:sz w:val="28"/>
          <w:szCs w:val="28"/>
        </w:rPr>
        <w:t>林校区，项目内容</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防火门、窗户等更换及其他</w:t>
      </w:r>
      <w:proofErr w:type="gramStart"/>
      <w:r>
        <w:rPr>
          <w:rFonts w:ascii="华文楷体" w:eastAsia="华文楷体" w:hAnsi="华文楷体" w:cs="华文楷体" w:hint="eastAsia"/>
          <w:sz w:val="28"/>
          <w:szCs w:val="28"/>
        </w:rPr>
        <w:t>零星项目</w:t>
      </w:r>
      <w:proofErr w:type="gramEnd"/>
      <w:r>
        <w:rPr>
          <w:rFonts w:ascii="华文楷体" w:eastAsia="华文楷体" w:hAnsi="华文楷体" w:cs="华文楷体" w:hint="eastAsia"/>
          <w:sz w:val="28"/>
          <w:szCs w:val="28"/>
        </w:rPr>
        <w:t>修复</w:t>
      </w:r>
      <w:r>
        <w:rPr>
          <w:rFonts w:ascii="华文楷体" w:eastAsia="华文楷体" w:hAnsi="华文楷体" w:cs="华文楷体" w:hint="eastAsia"/>
          <w:sz w:val="28"/>
          <w:szCs w:val="28"/>
        </w:rPr>
        <w:t>等。</w:t>
      </w:r>
    </w:p>
    <w:p w:rsidR="000E7E61" w:rsidRDefault="00DD09B9">
      <w:pPr>
        <w:numPr>
          <w:ilvl w:val="0"/>
          <w:numId w:val="2"/>
        </w:num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工程招标和分包范围</w:t>
      </w:r>
    </w:p>
    <w:p w:rsidR="000E7E61" w:rsidRDefault="00DD09B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本项目招标范围：</w:t>
      </w:r>
      <w:r>
        <w:rPr>
          <w:rFonts w:ascii="华文楷体" w:eastAsia="华文楷体" w:hAnsi="华文楷体" w:cs="华文楷体" w:hint="eastAsia"/>
          <w:sz w:val="28"/>
          <w:szCs w:val="28"/>
        </w:rPr>
        <w:t>清单</w:t>
      </w:r>
      <w:r>
        <w:rPr>
          <w:rFonts w:ascii="华文楷体" w:eastAsia="华文楷体" w:hAnsi="华文楷体" w:cs="华文楷体" w:hint="eastAsia"/>
          <w:sz w:val="28"/>
          <w:szCs w:val="28"/>
        </w:rPr>
        <w:t>范围内所有内容，本项目共一个标段，无其它专业分包项。</w:t>
      </w:r>
    </w:p>
    <w:p w:rsidR="000E7E61" w:rsidRDefault="00DD09B9">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三、编制依据</w:t>
      </w:r>
    </w:p>
    <w:p w:rsidR="000E7E61" w:rsidRDefault="00DD09B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现场实际勘查</w:t>
      </w:r>
      <w:r>
        <w:rPr>
          <w:rFonts w:ascii="华文楷体" w:eastAsia="华文楷体" w:hAnsi="华文楷体" w:cs="华文楷体" w:hint="eastAsia"/>
          <w:sz w:val="28"/>
          <w:szCs w:val="28"/>
        </w:rPr>
        <w:t>。</w:t>
      </w:r>
    </w:p>
    <w:p w:rsidR="000E7E61" w:rsidRDefault="00DD09B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、《省住房城乡建设厅关于</w:t>
      </w:r>
      <w:r>
        <w:rPr>
          <w:rFonts w:ascii="华文楷体" w:eastAsia="华文楷体" w:hAnsi="华文楷体" w:cs="华文楷体" w:hint="eastAsia"/>
          <w:sz w:val="28"/>
          <w:szCs w:val="28"/>
        </w:rPr>
        <w:t>&lt;</w:t>
      </w:r>
      <w:r>
        <w:rPr>
          <w:rFonts w:ascii="华文楷体" w:eastAsia="华文楷体" w:hAnsi="华文楷体" w:cs="华文楷体" w:hint="eastAsia"/>
          <w:sz w:val="28"/>
          <w:szCs w:val="28"/>
        </w:rPr>
        <w:t>建设工程工程量清单计价规范</w:t>
      </w:r>
      <w:r>
        <w:rPr>
          <w:rFonts w:ascii="华文楷体" w:eastAsia="华文楷体" w:hAnsi="华文楷体" w:cs="华文楷体" w:hint="eastAsia"/>
          <w:sz w:val="28"/>
          <w:szCs w:val="28"/>
        </w:rPr>
        <w:t>&gt;</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GB50500</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2013</w:t>
      </w:r>
      <w:r>
        <w:rPr>
          <w:rFonts w:ascii="华文楷体" w:eastAsia="华文楷体" w:hAnsi="华文楷体" w:cs="华文楷体" w:hint="eastAsia"/>
          <w:sz w:val="28"/>
          <w:szCs w:val="28"/>
        </w:rPr>
        <w:t>）及其</w:t>
      </w:r>
      <w:r>
        <w:rPr>
          <w:rFonts w:ascii="华文楷体" w:eastAsia="华文楷体" w:hAnsi="华文楷体" w:cs="华文楷体" w:hint="eastAsia"/>
          <w:sz w:val="28"/>
          <w:szCs w:val="28"/>
        </w:rPr>
        <w:t>9</w:t>
      </w:r>
      <w:r>
        <w:rPr>
          <w:rFonts w:ascii="华文楷体" w:eastAsia="华文楷体" w:hAnsi="华文楷体" w:cs="华文楷体" w:hint="eastAsia"/>
          <w:sz w:val="28"/>
          <w:szCs w:val="28"/>
        </w:rPr>
        <w:t>本工程量计算规范的贯彻意见》（</w:t>
      </w:r>
      <w:proofErr w:type="gramStart"/>
      <w:r>
        <w:rPr>
          <w:rFonts w:ascii="华文楷体" w:eastAsia="华文楷体" w:hAnsi="华文楷体" w:cs="华文楷体" w:hint="eastAsia"/>
          <w:sz w:val="28"/>
          <w:szCs w:val="28"/>
        </w:rPr>
        <w:t>苏建价〔</w:t>
      </w:r>
      <w:r>
        <w:rPr>
          <w:rFonts w:ascii="华文楷体" w:eastAsia="华文楷体" w:hAnsi="华文楷体" w:cs="华文楷体" w:hint="eastAsia"/>
          <w:sz w:val="28"/>
          <w:szCs w:val="28"/>
        </w:rPr>
        <w:t>2014</w:t>
      </w:r>
      <w:r>
        <w:rPr>
          <w:rFonts w:ascii="华文楷体" w:eastAsia="华文楷体" w:hAnsi="华文楷体" w:cs="华文楷体" w:hint="eastAsia"/>
          <w:sz w:val="28"/>
          <w:szCs w:val="28"/>
        </w:rPr>
        <w:t>〕</w:t>
      </w:r>
      <w:proofErr w:type="gramEnd"/>
      <w:r>
        <w:rPr>
          <w:rFonts w:ascii="华文楷体" w:eastAsia="华文楷体" w:hAnsi="华文楷体" w:cs="华文楷体" w:hint="eastAsia"/>
          <w:sz w:val="28"/>
          <w:szCs w:val="28"/>
        </w:rPr>
        <w:t>448</w:t>
      </w:r>
      <w:r>
        <w:rPr>
          <w:rFonts w:ascii="华文楷体" w:eastAsia="华文楷体" w:hAnsi="华文楷体" w:cs="华文楷体" w:hint="eastAsia"/>
          <w:sz w:val="28"/>
          <w:szCs w:val="28"/>
        </w:rPr>
        <w:t>号）。</w:t>
      </w:r>
    </w:p>
    <w:p w:rsidR="000E7E61" w:rsidRDefault="00DD09B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3</w:t>
      </w:r>
      <w:r>
        <w:rPr>
          <w:rFonts w:ascii="华文楷体" w:eastAsia="华文楷体" w:hAnsi="华文楷体" w:cs="华文楷体" w:hint="eastAsia"/>
          <w:sz w:val="28"/>
          <w:szCs w:val="28"/>
        </w:rPr>
        <w:t>、《省住房城乡建设厅关于建筑业实施营改增后江苏省建设工程计价依据调整的通知》（</w:t>
      </w:r>
      <w:proofErr w:type="gramStart"/>
      <w:r>
        <w:rPr>
          <w:rFonts w:ascii="华文楷体" w:eastAsia="华文楷体" w:hAnsi="华文楷体" w:cs="华文楷体" w:hint="eastAsia"/>
          <w:sz w:val="28"/>
          <w:szCs w:val="28"/>
        </w:rPr>
        <w:t>苏建价〔</w:t>
      </w:r>
      <w:r>
        <w:rPr>
          <w:rFonts w:ascii="华文楷体" w:eastAsia="华文楷体" w:hAnsi="华文楷体" w:cs="华文楷体" w:hint="eastAsia"/>
          <w:sz w:val="28"/>
          <w:szCs w:val="28"/>
        </w:rPr>
        <w:t>2016</w:t>
      </w:r>
      <w:r>
        <w:rPr>
          <w:rFonts w:ascii="华文楷体" w:eastAsia="华文楷体" w:hAnsi="华文楷体" w:cs="华文楷体" w:hint="eastAsia"/>
          <w:sz w:val="28"/>
          <w:szCs w:val="28"/>
        </w:rPr>
        <w:t>〕</w:t>
      </w:r>
      <w:proofErr w:type="gramEnd"/>
      <w:r>
        <w:rPr>
          <w:rFonts w:ascii="华文楷体" w:eastAsia="华文楷体" w:hAnsi="华文楷体" w:cs="华文楷体" w:hint="eastAsia"/>
          <w:sz w:val="28"/>
          <w:szCs w:val="28"/>
        </w:rPr>
        <w:t>154</w:t>
      </w:r>
      <w:r>
        <w:rPr>
          <w:rFonts w:ascii="华文楷体" w:eastAsia="华文楷体" w:hAnsi="华文楷体" w:cs="华文楷体" w:hint="eastAsia"/>
          <w:sz w:val="28"/>
          <w:szCs w:val="28"/>
        </w:rPr>
        <w:t>号）中不可竞争费用的规定。</w:t>
      </w:r>
    </w:p>
    <w:p w:rsidR="000E7E61" w:rsidRDefault="00DD09B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4</w:t>
      </w:r>
      <w:r>
        <w:rPr>
          <w:rFonts w:ascii="华文楷体" w:eastAsia="华文楷体" w:hAnsi="华文楷体" w:cs="华文楷体" w:hint="eastAsia"/>
          <w:sz w:val="28"/>
          <w:szCs w:val="28"/>
        </w:rPr>
        <w:t>、《省住房城乡建设厅关于调整建设工程计价增值税税率的通知》（苏</w:t>
      </w:r>
      <w:proofErr w:type="gramStart"/>
      <w:r>
        <w:rPr>
          <w:rFonts w:ascii="华文楷体" w:eastAsia="华文楷体" w:hAnsi="华文楷体" w:cs="华文楷体" w:hint="eastAsia"/>
          <w:sz w:val="28"/>
          <w:szCs w:val="28"/>
        </w:rPr>
        <w:t>建函价</w:t>
      </w:r>
      <w:proofErr w:type="gramEnd"/>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2019</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178</w:t>
      </w:r>
      <w:r>
        <w:rPr>
          <w:rFonts w:ascii="华文楷体" w:eastAsia="华文楷体" w:hAnsi="华文楷体" w:cs="华文楷体" w:hint="eastAsia"/>
          <w:sz w:val="28"/>
          <w:szCs w:val="28"/>
        </w:rPr>
        <w:t>号）。</w:t>
      </w:r>
    </w:p>
    <w:p w:rsidR="000E7E61" w:rsidRDefault="00DD09B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5</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其它</w:t>
      </w:r>
      <w:r>
        <w:rPr>
          <w:rFonts w:ascii="华文楷体" w:eastAsia="华文楷体" w:hAnsi="华文楷体" w:cs="华文楷体" w:hint="eastAsia"/>
          <w:sz w:val="28"/>
          <w:szCs w:val="28"/>
        </w:rPr>
        <w:t>文件等。</w:t>
      </w:r>
    </w:p>
    <w:p w:rsidR="000E7E61" w:rsidRDefault="00DD09B9">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四、图纸及工程量计算中的相关说明</w:t>
      </w:r>
    </w:p>
    <w:p w:rsidR="000E7E61" w:rsidRDefault="00DD09B9">
      <w:pPr>
        <w:pStyle w:val="a9"/>
        <w:widowControl/>
        <w:spacing w:before="0" w:beforeAutospacing="0" w:after="0" w:afterAutospacing="0"/>
        <w:ind w:firstLineChars="200" w:firstLine="560"/>
        <w:rPr>
          <w:rFonts w:ascii="华文楷体" w:eastAsia="华文楷体" w:hAnsi="华文楷体" w:cs="华文楷体"/>
          <w:kern w:val="2"/>
          <w:sz w:val="28"/>
          <w:szCs w:val="28"/>
        </w:rPr>
      </w:pPr>
      <w:r>
        <w:rPr>
          <w:rFonts w:ascii="华文楷体" w:eastAsia="华文楷体" w:hAnsi="华文楷体" w:cs="华文楷体" w:hint="eastAsia"/>
          <w:kern w:val="2"/>
          <w:sz w:val="28"/>
          <w:szCs w:val="28"/>
        </w:rPr>
        <w:t>1</w:t>
      </w:r>
      <w:r>
        <w:rPr>
          <w:rFonts w:ascii="华文楷体" w:eastAsia="华文楷体" w:hAnsi="华文楷体" w:cs="华文楷体" w:hint="eastAsia"/>
          <w:kern w:val="2"/>
          <w:sz w:val="28"/>
          <w:szCs w:val="28"/>
        </w:rPr>
        <w:t>、通用部分</w:t>
      </w:r>
    </w:p>
    <w:p w:rsidR="000E7E61" w:rsidRDefault="00DD09B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）投标人在投标报价时结合现场实际情况考虑施工及围挡防护安全，结算时不再调整；</w:t>
      </w:r>
    </w:p>
    <w:p w:rsidR="000E7E61" w:rsidRDefault="00DD09B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）本工程所需报验、报检费用甲方不予承担，投标人自行考虑计入投</w:t>
      </w:r>
      <w:r>
        <w:rPr>
          <w:rFonts w:ascii="华文楷体" w:eastAsia="华文楷体" w:hAnsi="华文楷体" w:cs="华文楷体" w:hint="eastAsia"/>
          <w:sz w:val="28"/>
          <w:szCs w:val="28"/>
        </w:rPr>
        <w:lastRenderedPageBreak/>
        <w:t>标报价；</w:t>
      </w:r>
    </w:p>
    <w:p w:rsidR="000E7E61" w:rsidRDefault="00DD09B9">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3</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措施费项目投标单位可自行增添内容，自行报价，未计</w:t>
      </w:r>
      <w:proofErr w:type="gramStart"/>
      <w:r>
        <w:rPr>
          <w:rFonts w:ascii="华文楷体" w:eastAsia="华文楷体" w:hAnsi="华文楷体" w:cs="华文楷体" w:hint="eastAsia"/>
          <w:sz w:val="28"/>
          <w:szCs w:val="28"/>
          <w:lang w:val="zh-CN"/>
        </w:rPr>
        <w:t>放部分</w:t>
      </w:r>
      <w:proofErr w:type="gramEnd"/>
      <w:r>
        <w:rPr>
          <w:rFonts w:ascii="华文楷体" w:eastAsia="华文楷体" w:hAnsi="华文楷体" w:cs="华文楷体" w:hint="eastAsia"/>
          <w:sz w:val="28"/>
          <w:szCs w:val="28"/>
          <w:lang w:val="zh-CN"/>
        </w:rPr>
        <w:t>按优惠考虑，结算时不再调整，投标人在报价中应充分考虑所涉及的各项措施费及风险因素后再进行报价，</w:t>
      </w:r>
      <w:r>
        <w:rPr>
          <w:rFonts w:ascii="华文楷体" w:eastAsia="华文楷体" w:hAnsi="华文楷体" w:cs="华文楷体" w:hint="eastAsia"/>
          <w:sz w:val="28"/>
          <w:szCs w:val="28"/>
        </w:rPr>
        <w:t>不可竞争费按规定报价</w:t>
      </w:r>
      <w:r>
        <w:rPr>
          <w:rFonts w:ascii="华文楷体" w:eastAsia="华文楷体" w:hAnsi="华文楷体" w:cs="华文楷体" w:hint="eastAsia"/>
          <w:sz w:val="28"/>
          <w:szCs w:val="28"/>
          <w:lang w:val="zh-CN"/>
        </w:rPr>
        <w:t>；</w:t>
      </w:r>
    </w:p>
    <w:p w:rsidR="000E7E61" w:rsidRDefault="00DD09B9">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4</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施工现场、交通运输情况及自然地理条件由投标人自行现场勘察，应充分考虑本工程场地现状的特点，可能对工程施工造成的影响并由此增加的费用等，做出</w:t>
      </w:r>
      <w:proofErr w:type="gramStart"/>
      <w:r>
        <w:rPr>
          <w:rFonts w:ascii="华文楷体" w:eastAsia="华文楷体" w:hAnsi="华文楷体" w:cs="华文楷体" w:hint="eastAsia"/>
          <w:sz w:val="28"/>
          <w:szCs w:val="28"/>
          <w:lang w:val="zh-CN"/>
        </w:rPr>
        <w:t>考量</w:t>
      </w:r>
      <w:proofErr w:type="gramEnd"/>
      <w:r>
        <w:rPr>
          <w:rFonts w:ascii="华文楷体" w:eastAsia="华文楷体" w:hAnsi="华文楷体" w:cs="华文楷体" w:hint="eastAsia"/>
          <w:sz w:val="28"/>
          <w:szCs w:val="28"/>
          <w:lang w:val="zh-CN"/>
        </w:rPr>
        <w:t>一并考虑在投标报价中；</w:t>
      </w:r>
    </w:p>
    <w:p w:rsidR="000E7E61" w:rsidRDefault="00DD09B9">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5</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清单</w:t>
      </w:r>
      <w:proofErr w:type="gramStart"/>
      <w:r>
        <w:rPr>
          <w:rFonts w:ascii="华文楷体" w:eastAsia="华文楷体" w:hAnsi="华文楷体" w:cs="华文楷体" w:hint="eastAsia"/>
          <w:sz w:val="28"/>
          <w:szCs w:val="28"/>
          <w:lang w:val="zh-CN"/>
        </w:rPr>
        <w:t>中项目</w:t>
      </w:r>
      <w:proofErr w:type="gramEnd"/>
      <w:r>
        <w:rPr>
          <w:rFonts w:ascii="华文楷体" w:eastAsia="华文楷体" w:hAnsi="华文楷体" w:cs="华文楷体" w:hint="eastAsia"/>
          <w:sz w:val="28"/>
          <w:szCs w:val="28"/>
          <w:lang w:val="zh-CN"/>
        </w:rPr>
        <w:t>特征描述</w:t>
      </w:r>
      <w:r>
        <w:rPr>
          <w:rFonts w:ascii="华文楷体" w:eastAsia="华文楷体" w:hAnsi="华文楷体" w:cs="华文楷体" w:hint="eastAsia"/>
          <w:sz w:val="28"/>
          <w:szCs w:val="28"/>
        </w:rPr>
        <w:t>清单的主要特征</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投标报价时应考虑</w:t>
      </w:r>
      <w:r>
        <w:rPr>
          <w:rFonts w:ascii="华文楷体" w:eastAsia="华文楷体" w:hAnsi="华文楷体" w:cs="华文楷体" w:hint="eastAsia"/>
          <w:sz w:val="28"/>
          <w:szCs w:val="28"/>
        </w:rPr>
        <w:t>现场实际</w:t>
      </w:r>
      <w:r>
        <w:rPr>
          <w:rFonts w:ascii="华文楷体" w:eastAsia="华文楷体" w:hAnsi="华文楷体" w:cs="华文楷体" w:hint="eastAsia"/>
          <w:sz w:val="28"/>
          <w:szCs w:val="28"/>
          <w:lang w:val="zh-CN"/>
        </w:rPr>
        <w:t>所示施工要求等一切费用；</w:t>
      </w:r>
    </w:p>
    <w:p w:rsidR="000E7E61" w:rsidRDefault="00DD09B9">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6</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工程量清单应与招标文件、招标项目</w:t>
      </w:r>
      <w:r>
        <w:rPr>
          <w:rFonts w:ascii="华文楷体" w:eastAsia="华文楷体" w:hAnsi="华文楷体" w:cs="华文楷体" w:hint="eastAsia"/>
          <w:sz w:val="28"/>
          <w:szCs w:val="28"/>
        </w:rPr>
        <w:t>其它</w:t>
      </w:r>
      <w:r>
        <w:rPr>
          <w:rFonts w:ascii="华文楷体" w:eastAsia="华文楷体" w:hAnsi="华文楷体" w:cs="华文楷体" w:hint="eastAsia"/>
          <w:sz w:val="28"/>
          <w:szCs w:val="28"/>
          <w:lang w:val="zh-CN"/>
        </w:rPr>
        <w:t>文件结合起来查阅与理解。工程量清单中</w:t>
      </w:r>
      <w:r>
        <w:rPr>
          <w:rFonts w:ascii="华文楷体" w:eastAsia="华文楷体" w:hAnsi="华文楷体" w:cs="华文楷体" w:hint="eastAsia"/>
          <w:sz w:val="28"/>
          <w:szCs w:val="28"/>
          <w:lang w:val="zh-CN"/>
        </w:rPr>
        <w:t>所描述的项目特征仅为招标人对该分部分项目工程特征的概述，而非是工程特征的全面描述，报价时必须按施工</w:t>
      </w:r>
      <w:r>
        <w:rPr>
          <w:rFonts w:ascii="华文楷体" w:eastAsia="华文楷体" w:hAnsi="华文楷体" w:cs="华文楷体" w:hint="eastAsia"/>
          <w:sz w:val="28"/>
          <w:szCs w:val="28"/>
        </w:rPr>
        <w:t>现场实际情况</w:t>
      </w:r>
      <w:r>
        <w:rPr>
          <w:rFonts w:ascii="华文楷体" w:eastAsia="华文楷体" w:hAnsi="华文楷体" w:cs="华文楷体" w:hint="eastAsia"/>
          <w:sz w:val="28"/>
          <w:szCs w:val="28"/>
          <w:lang w:val="zh-CN"/>
        </w:rPr>
        <w:t>及相关的国家规范的要求。</w:t>
      </w:r>
    </w:p>
    <w:p w:rsidR="000E7E61" w:rsidRDefault="00DD09B9">
      <w:pPr>
        <w:autoSpaceDE w:val="0"/>
        <w:autoSpaceDN w:val="0"/>
        <w:adjustRightInd w:val="0"/>
        <w:spacing w:line="360" w:lineRule="auto"/>
        <w:ind w:firstLineChars="200" w:firstLine="560"/>
        <w:jc w:val="left"/>
        <w:rPr>
          <w:rFonts w:ascii="华文楷体" w:eastAsia="华文楷体" w:hAnsi="华文楷体" w:cs="华文楷体"/>
          <w:sz w:val="28"/>
          <w:szCs w:val="28"/>
          <w:lang w:val="zh-CN"/>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7</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lang w:val="zh-CN"/>
        </w:rPr>
        <w:t>投标人在投标文件中应明确主要材料所报的品牌、规格型号及厂家，包括招标文件和工程量清单编制说明中已经列明的品牌或投标人自报材料的品牌，否则招标人有权对没有</w:t>
      </w:r>
      <w:proofErr w:type="gramStart"/>
      <w:r>
        <w:rPr>
          <w:rFonts w:ascii="华文楷体" w:eastAsia="华文楷体" w:hAnsi="华文楷体" w:cs="华文楷体" w:hint="eastAsia"/>
          <w:sz w:val="28"/>
          <w:szCs w:val="28"/>
          <w:lang w:val="zh-CN"/>
        </w:rPr>
        <w:t>报品牌</w:t>
      </w:r>
      <w:proofErr w:type="gramEnd"/>
      <w:r>
        <w:rPr>
          <w:rFonts w:ascii="华文楷体" w:eastAsia="华文楷体" w:hAnsi="华文楷体" w:cs="华文楷体" w:hint="eastAsia"/>
          <w:sz w:val="28"/>
          <w:szCs w:val="28"/>
          <w:lang w:val="zh-CN"/>
        </w:rPr>
        <w:t>的主要材料指定相应的品牌，投标人无权拒绝。</w:t>
      </w:r>
    </w:p>
    <w:p w:rsidR="000E7E61" w:rsidRDefault="00DD09B9">
      <w:pPr>
        <w:pStyle w:val="a9"/>
        <w:widowControl/>
        <w:spacing w:before="0" w:beforeAutospacing="0" w:after="0" w:afterAutospacing="0"/>
        <w:ind w:firstLineChars="200" w:firstLine="560"/>
        <w:rPr>
          <w:rFonts w:ascii="华文楷体" w:eastAsia="华文楷体" w:hAnsi="华文楷体" w:cs="华文楷体"/>
          <w:kern w:val="2"/>
          <w:sz w:val="28"/>
          <w:szCs w:val="28"/>
        </w:rPr>
      </w:pPr>
      <w:r>
        <w:rPr>
          <w:rFonts w:ascii="华文楷体" w:eastAsia="华文楷体" w:hAnsi="华文楷体" w:cs="华文楷体" w:hint="eastAsia"/>
          <w:kern w:val="2"/>
          <w:sz w:val="28"/>
          <w:szCs w:val="28"/>
        </w:rPr>
        <w:t>2</w:t>
      </w:r>
      <w:r>
        <w:rPr>
          <w:rFonts w:ascii="华文楷体" w:eastAsia="华文楷体" w:hAnsi="华文楷体" w:cs="华文楷体" w:hint="eastAsia"/>
          <w:kern w:val="2"/>
          <w:sz w:val="28"/>
          <w:szCs w:val="28"/>
        </w:rPr>
        <w:t>、</w:t>
      </w:r>
      <w:r>
        <w:rPr>
          <w:rFonts w:ascii="华文楷体" w:eastAsia="华文楷体" w:hAnsi="华文楷体" w:cs="华文楷体" w:hint="eastAsia"/>
          <w:kern w:val="2"/>
          <w:sz w:val="28"/>
          <w:szCs w:val="28"/>
        </w:rPr>
        <w:t>拆除</w:t>
      </w:r>
      <w:r>
        <w:rPr>
          <w:rFonts w:ascii="华文楷体" w:eastAsia="华文楷体" w:hAnsi="华文楷体" w:cs="华文楷体" w:hint="eastAsia"/>
          <w:kern w:val="2"/>
          <w:sz w:val="28"/>
          <w:szCs w:val="28"/>
        </w:rPr>
        <w:t>部分</w:t>
      </w:r>
    </w:p>
    <w:p w:rsidR="000E7E61" w:rsidRDefault="00DD09B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）本项目投标人应自行察看现场，对前期施工中的各种施工因素需综合考虑并分项报价。</w:t>
      </w:r>
    </w:p>
    <w:p w:rsidR="000E7E61" w:rsidRDefault="00DD09B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）工程量清单描述不全时，应</w:t>
      </w:r>
      <w:r>
        <w:rPr>
          <w:rFonts w:ascii="华文楷体" w:eastAsia="华文楷体" w:hAnsi="华文楷体" w:cs="华文楷体" w:hint="eastAsia"/>
          <w:sz w:val="28"/>
          <w:szCs w:val="28"/>
        </w:rPr>
        <w:t>与负责人及时沟通</w:t>
      </w:r>
      <w:r>
        <w:rPr>
          <w:rFonts w:ascii="华文楷体" w:eastAsia="华文楷体" w:hAnsi="华文楷体" w:cs="华文楷体" w:hint="eastAsia"/>
          <w:sz w:val="28"/>
          <w:szCs w:val="28"/>
        </w:rPr>
        <w:t>，并应当综合考虑施工规范，地方规章等要求，所产生的费用计入报价中。</w:t>
      </w:r>
    </w:p>
    <w:p w:rsidR="000E7E61" w:rsidRDefault="00DD09B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lastRenderedPageBreak/>
        <w:t>（</w:t>
      </w:r>
      <w:r>
        <w:rPr>
          <w:rFonts w:ascii="华文楷体" w:eastAsia="华文楷体" w:hAnsi="华文楷体" w:cs="华文楷体" w:hint="eastAsia"/>
          <w:sz w:val="28"/>
          <w:szCs w:val="28"/>
        </w:rPr>
        <w:t>3</w:t>
      </w:r>
      <w:r>
        <w:rPr>
          <w:rFonts w:ascii="华文楷体" w:eastAsia="华文楷体" w:hAnsi="华文楷体" w:cs="华文楷体" w:hint="eastAsia"/>
          <w:sz w:val="28"/>
          <w:szCs w:val="28"/>
        </w:rPr>
        <w:t>）清单</w:t>
      </w:r>
      <w:proofErr w:type="gramStart"/>
      <w:r>
        <w:rPr>
          <w:rFonts w:ascii="华文楷体" w:eastAsia="华文楷体" w:hAnsi="华文楷体" w:cs="华文楷体" w:hint="eastAsia"/>
          <w:sz w:val="28"/>
          <w:szCs w:val="28"/>
        </w:rPr>
        <w:t>中项目</w:t>
      </w:r>
      <w:proofErr w:type="gramEnd"/>
      <w:r>
        <w:rPr>
          <w:rFonts w:ascii="华文楷体" w:eastAsia="华文楷体" w:hAnsi="华文楷体" w:cs="华文楷体" w:hint="eastAsia"/>
          <w:sz w:val="28"/>
          <w:szCs w:val="28"/>
        </w:rPr>
        <w:t>特征描述不论是否完整，项目特征描述是否全面，招标</w:t>
      </w:r>
      <w:r>
        <w:rPr>
          <w:rFonts w:ascii="华文楷体" w:eastAsia="华文楷体" w:hAnsi="华文楷体" w:cs="华文楷体" w:hint="eastAsia"/>
          <w:sz w:val="28"/>
          <w:szCs w:val="28"/>
        </w:rPr>
        <w:t>文件中</w:t>
      </w:r>
      <w:r>
        <w:rPr>
          <w:rFonts w:ascii="华文楷体" w:eastAsia="华文楷体" w:hAnsi="华文楷体" w:cs="华文楷体" w:hint="eastAsia"/>
          <w:sz w:val="28"/>
          <w:szCs w:val="28"/>
        </w:rPr>
        <w:t>的内容均含在此次报价内，投标人未在答疑阶段提出的均视为让利，该部分费用含在投标总费用当中，中标后不做调整（设计变更除外）。</w:t>
      </w:r>
    </w:p>
    <w:p w:rsidR="000E7E61" w:rsidRDefault="00DD09B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4</w:t>
      </w:r>
      <w:r>
        <w:rPr>
          <w:rFonts w:ascii="华文楷体" w:eastAsia="华文楷体" w:hAnsi="华文楷体" w:cs="华文楷体" w:hint="eastAsia"/>
          <w:sz w:val="28"/>
          <w:szCs w:val="28"/>
        </w:rPr>
        <w:t>）工程量清单应与招标文件、招标项目图纸等文件结合起来查阅与理解，工程量清单中所描述的项目特征仅为招标人对该分部分项目工程特征的概述，而非是工程特征的全面描述，报价时必须按相关的国家规范的要求。</w:t>
      </w:r>
    </w:p>
    <w:p w:rsidR="000E7E61" w:rsidRDefault="00DD09B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5</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现场施工过程中，</w:t>
      </w:r>
      <w:r>
        <w:rPr>
          <w:rFonts w:ascii="华文楷体" w:eastAsia="华文楷体" w:hAnsi="华文楷体" w:cs="华文楷体" w:hint="eastAsia"/>
          <w:sz w:val="28"/>
          <w:szCs w:val="28"/>
        </w:rPr>
        <w:t>局部破损处</w:t>
      </w:r>
      <w:proofErr w:type="gramStart"/>
      <w:r>
        <w:rPr>
          <w:rFonts w:ascii="华文楷体" w:eastAsia="华文楷体" w:hAnsi="华文楷体" w:cs="华文楷体" w:hint="eastAsia"/>
          <w:sz w:val="28"/>
          <w:szCs w:val="28"/>
        </w:rPr>
        <w:t>修复按</w:t>
      </w:r>
      <w:proofErr w:type="gramEnd"/>
      <w:r>
        <w:rPr>
          <w:rFonts w:ascii="华文楷体" w:eastAsia="华文楷体" w:hAnsi="华文楷体" w:cs="华文楷体" w:hint="eastAsia"/>
          <w:sz w:val="28"/>
          <w:szCs w:val="28"/>
        </w:rPr>
        <w:t>业主指定要求，</w:t>
      </w:r>
      <w:r>
        <w:rPr>
          <w:rFonts w:ascii="华文楷体" w:eastAsia="华文楷体" w:hAnsi="华文楷体" w:cs="华文楷体" w:hint="eastAsia"/>
          <w:sz w:val="28"/>
          <w:szCs w:val="28"/>
        </w:rPr>
        <w:t>引起相关材料变更及其它所产生的</w:t>
      </w:r>
      <w:proofErr w:type="gramStart"/>
      <w:r>
        <w:rPr>
          <w:rFonts w:ascii="华文楷体" w:eastAsia="华文楷体" w:hAnsi="华文楷体" w:cs="华文楷体" w:hint="eastAsia"/>
          <w:sz w:val="28"/>
          <w:szCs w:val="28"/>
        </w:rPr>
        <w:t>的</w:t>
      </w:r>
      <w:proofErr w:type="gramEnd"/>
      <w:r>
        <w:rPr>
          <w:rFonts w:ascii="华文楷体" w:eastAsia="华文楷体" w:hAnsi="华文楷体" w:cs="华文楷体" w:hint="eastAsia"/>
          <w:sz w:val="28"/>
          <w:szCs w:val="28"/>
        </w:rPr>
        <w:t>费用投标人应综合考虑，结算时不另做调整。</w:t>
      </w:r>
    </w:p>
    <w:p w:rsidR="000E7E61" w:rsidRDefault="00DD09B9">
      <w:pPr>
        <w:autoSpaceDE w:val="0"/>
        <w:autoSpaceDN w:val="0"/>
        <w:adjustRightInd w:val="0"/>
        <w:spacing w:line="360" w:lineRule="auto"/>
        <w:ind w:firstLineChars="200" w:firstLine="560"/>
        <w:jc w:val="left"/>
        <w:rPr>
          <w:rFonts w:ascii="华文楷体" w:eastAsia="华文楷体" w:hAnsi="华文楷体" w:cs="华文楷体"/>
          <w:sz w:val="28"/>
          <w:szCs w:val="28"/>
        </w:rPr>
      </w:pP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6</w:t>
      </w:r>
      <w:r>
        <w:rPr>
          <w:rFonts w:ascii="华文楷体" w:eastAsia="华文楷体" w:hAnsi="华文楷体" w:cs="华文楷体" w:hint="eastAsia"/>
          <w:sz w:val="28"/>
          <w:szCs w:val="28"/>
        </w:rPr>
        <w:t>）对所有进场施工人员的成品保护应要进行培训，指定专人负责成品保护工作；各专业工种分别做好本专业施工的专业性保护措施，完成的成品或半成品应与业主单位进行有关交接。现场设置施工设备时，应用脚手板垫离，防止油污污染墙地面。如有污染应及时清理。在进行电、气焊、切割等施工作业时，应采用隔离措施，防止损坏已做好的墙地面。在现场建立临时库房或堆放材料时，应采用隔离措施，并特别保护墙、柱、楼梯踏步</w:t>
      </w:r>
      <w:proofErr w:type="gramStart"/>
      <w:r>
        <w:rPr>
          <w:rFonts w:ascii="华文楷体" w:eastAsia="华文楷体" w:hAnsi="华文楷体" w:cs="华文楷体" w:hint="eastAsia"/>
          <w:sz w:val="28"/>
          <w:szCs w:val="28"/>
        </w:rPr>
        <w:t>等阳角</w:t>
      </w:r>
      <w:proofErr w:type="gramEnd"/>
      <w:r>
        <w:rPr>
          <w:rFonts w:ascii="华文楷体" w:eastAsia="华文楷体" w:hAnsi="华文楷体" w:cs="华文楷体" w:hint="eastAsia"/>
          <w:sz w:val="28"/>
          <w:szCs w:val="28"/>
        </w:rPr>
        <w:t>部位。施工单位应充分考虑现场实际情况，对产生</w:t>
      </w:r>
      <w:r>
        <w:rPr>
          <w:rFonts w:ascii="华文楷体" w:eastAsia="华文楷体" w:hAnsi="华文楷体" w:cs="华文楷体" w:hint="eastAsia"/>
          <w:sz w:val="28"/>
          <w:szCs w:val="28"/>
        </w:rPr>
        <w:t>的额外相关费用应充分考虑，结算时不另做调整。</w:t>
      </w:r>
    </w:p>
    <w:p w:rsidR="000E7E61" w:rsidRDefault="00DD09B9">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五</w:t>
      </w:r>
      <w:r>
        <w:rPr>
          <w:rFonts w:ascii="华文楷体" w:eastAsia="华文楷体" w:hAnsi="华文楷体" w:cs="华文楷体" w:hint="eastAsia"/>
          <w:b/>
          <w:bCs/>
          <w:sz w:val="28"/>
          <w:szCs w:val="28"/>
        </w:rPr>
        <w:t>、主要材料设备</w:t>
      </w:r>
    </w:p>
    <w:p w:rsidR="000E7E61" w:rsidRDefault="00DD09B9">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（一）投标人负责采购的主要材料设备</w:t>
      </w:r>
    </w:p>
    <w:p w:rsidR="000E7E61" w:rsidRDefault="00DD09B9">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本次招标要求投标人在投标时根据招标人提供的主要材料推荐品牌和产品系列，明确投标所选的厂家品牌产品（其中，</w:t>
      </w:r>
      <w:r>
        <w:rPr>
          <w:rFonts w:ascii="华文楷体" w:eastAsia="华文楷体" w:hAnsi="华文楷体" w:cs="华文楷体" w:hint="eastAsia"/>
          <w:color w:val="000000"/>
          <w:kern w:val="0"/>
          <w:sz w:val="28"/>
          <w:szCs w:val="28"/>
          <w:lang w:bidi="ar"/>
        </w:rPr>
        <w:t>钢质门</w:t>
      </w:r>
      <w:r>
        <w:rPr>
          <w:rFonts w:ascii="华文楷体" w:eastAsia="华文楷体" w:hAnsi="华文楷体" w:cs="华文楷体" w:hint="eastAsia"/>
          <w:sz w:val="28"/>
          <w:szCs w:val="28"/>
        </w:rPr>
        <w:t>、</w:t>
      </w:r>
      <w:r>
        <w:rPr>
          <w:rFonts w:ascii="华文楷体" w:eastAsia="华文楷体" w:hAnsi="华文楷体" w:cs="华文楷体" w:hint="eastAsia"/>
          <w:sz w:val="28"/>
          <w:szCs w:val="28"/>
        </w:rPr>
        <w:t>窗</w:t>
      </w:r>
      <w:r>
        <w:rPr>
          <w:rFonts w:ascii="华文楷体" w:eastAsia="华文楷体" w:hAnsi="华文楷体" w:cs="华文楷体" w:hint="eastAsia"/>
          <w:sz w:val="28"/>
          <w:szCs w:val="28"/>
        </w:rPr>
        <w:t>可根据施工期间市场行情在自行调换任</w:t>
      </w:r>
      <w:proofErr w:type="gramStart"/>
      <w:r>
        <w:rPr>
          <w:rFonts w:ascii="华文楷体" w:eastAsia="华文楷体" w:hAnsi="华文楷体" w:cs="华文楷体" w:hint="eastAsia"/>
          <w:sz w:val="28"/>
          <w:szCs w:val="28"/>
        </w:rPr>
        <w:t>一</w:t>
      </w:r>
      <w:proofErr w:type="gramEnd"/>
      <w:r>
        <w:rPr>
          <w:rFonts w:ascii="华文楷体" w:eastAsia="华文楷体" w:hAnsi="华文楷体" w:cs="华文楷体" w:hint="eastAsia"/>
          <w:sz w:val="28"/>
          <w:szCs w:val="28"/>
        </w:rPr>
        <w:t>推荐品牌进行采购）。投标人拟选择推荐的厂家或品牌以外的产品时，必须满足相关技术标准和质量要求，并在“澄清答疑”</w:t>
      </w:r>
      <w:r>
        <w:rPr>
          <w:rFonts w:ascii="华文楷体" w:eastAsia="华文楷体" w:hAnsi="华文楷体" w:cs="华文楷体" w:hint="eastAsia"/>
          <w:sz w:val="28"/>
          <w:szCs w:val="28"/>
        </w:rPr>
        <w:lastRenderedPageBreak/>
        <w:t>环节中向招标人提出具体品牌，招标人将在“澄清答疑”环节中答复是否同意。否则中标后，招标人有权要求中标人使用推荐品牌表中的品牌和产品系列，价格不作调整。</w:t>
      </w:r>
    </w:p>
    <w:p w:rsidR="000E7E61" w:rsidRDefault="00DD09B9">
      <w:pPr>
        <w:numPr>
          <w:ilvl w:val="0"/>
          <w:numId w:val="3"/>
        </w:num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主要材料品牌推荐表如下：</w:t>
      </w: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4"/>
        <w:gridCol w:w="1219"/>
        <w:gridCol w:w="1624"/>
        <w:gridCol w:w="4341"/>
        <w:gridCol w:w="1828"/>
      </w:tblGrid>
      <w:tr w:rsidR="000E7E61">
        <w:trPr>
          <w:trHeight w:val="499"/>
        </w:trPr>
        <w:tc>
          <w:tcPr>
            <w:tcW w:w="434" w:type="dxa"/>
            <w:shd w:val="clear" w:color="auto" w:fill="auto"/>
            <w:tcMar>
              <w:top w:w="12" w:type="dxa"/>
              <w:left w:w="12" w:type="dxa"/>
              <w:right w:w="12" w:type="dxa"/>
            </w:tcMar>
            <w:vAlign w:val="center"/>
          </w:tcPr>
          <w:p w:rsidR="000E7E61" w:rsidRDefault="00DD09B9">
            <w:pPr>
              <w:widowControl/>
              <w:jc w:val="center"/>
              <w:textAlignment w:val="center"/>
              <w:rPr>
                <w:rFonts w:ascii="华文楷体" w:eastAsia="华文楷体" w:hAnsi="华文楷体" w:cs="华文楷体"/>
                <w:b/>
                <w:bCs/>
                <w:sz w:val="28"/>
                <w:szCs w:val="28"/>
              </w:rPr>
            </w:pPr>
            <w:r>
              <w:rPr>
                <w:rFonts w:ascii="华文楷体" w:eastAsia="华文楷体" w:hAnsi="华文楷体" w:cs="华文楷体" w:hint="eastAsia"/>
                <w:b/>
                <w:bCs/>
                <w:sz w:val="28"/>
                <w:szCs w:val="28"/>
              </w:rPr>
              <w:t>序号</w:t>
            </w:r>
          </w:p>
        </w:tc>
        <w:tc>
          <w:tcPr>
            <w:tcW w:w="1219" w:type="dxa"/>
            <w:shd w:val="clear" w:color="auto" w:fill="auto"/>
            <w:tcMar>
              <w:top w:w="12" w:type="dxa"/>
              <w:left w:w="12" w:type="dxa"/>
              <w:right w:w="12" w:type="dxa"/>
            </w:tcMar>
            <w:vAlign w:val="center"/>
          </w:tcPr>
          <w:p w:rsidR="000E7E61" w:rsidRDefault="00DD09B9">
            <w:pPr>
              <w:widowControl/>
              <w:jc w:val="center"/>
              <w:textAlignment w:val="center"/>
              <w:rPr>
                <w:rFonts w:ascii="华文楷体" w:eastAsia="华文楷体" w:hAnsi="华文楷体" w:cs="华文楷体"/>
                <w:b/>
                <w:bCs/>
                <w:sz w:val="28"/>
                <w:szCs w:val="28"/>
              </w:rPr>
            </w:pPr>
            <w:r>
              <w:rPr>
                <w:rFonts w:ascii="华文楷体" w:eastAsia="华文楷体" w:hAnsi="华文楷体" w:cs="华文楷体" w:hint="eastAsia"/>
                <w:b/>
                <w:bCs/>
                <w:sz w:val="28"/>
                <w:szCs w:val="28"/>
              </w:rPr>
              <w:t>材料设备名称</w:t>
            </w:r>
          </w:p>
        </w:tc>
        <w:tc>
          <w:tcPr>
            <w:tcW w:w="1624" w:type="dxa"/>
            <w:shd w:val="clear" w:color="auto" w:fill="auto"/>
            <w:tcMar>
              <w:top w:w="12" w:type="dxa"/>
              <w:left w:w="12" w:type="dxa"/>
              <w:right w:w="12" w:type="dxa"/>
            </w:tcMar>
            <w:vAlign w:val="center"/>
          </w:tcPr>
          <w:p w:rsidR="000E7E61" w:rsidRDefault="00DD09B9">
            <w:pPr>
              <w:widowControl/>
              <w:jc w:val="center"/>
              <w:textAlignment w:val="center"/>
              <w:rPr>
                <w:rFonts w:ascii="华文楷体" w:eastAsia="华文楷体" w:hAnsi="华文楷体" w:cs="华文楷体"/>
                <w:b/>
                <w:bCs/>
                <w:sz w:val="28"/>
                <w:szCs w:val="28"/>
              </w:rPr>
            </w:pPr>
            <w:r>
              <w:rPr>
                <w:rFonts w:ascii="华文楷体" w:eastAsia="华文楷体" w:hAnsi="华文楷体" w:cs="华文楷体" w:hint="eastAsia"/>
                <w:b/>
                <w:bCs/>
                <w:sz w:val="28"/>
                <w:szCs w:val="28"/>
              </w:rPr>
              <w:t>推荐品牌</w:t>
            </w:r>
          </w:p>
        </w:tc>
        <w:tc>
          <w:tcPr>
            <w:tcW w:w="4341" w:type="dxa"/>
            <w:shd w:val="clear" w:color="auto" w:fill="auto"/>
            <w:tcMar>
              <w:top w:w="12" w:type="dxa"/>
              <w:left w:w="12" w:type="dxa"/>
              <w:right w:w="12" w:type="dxa"/>
            </w:tcMar>
            <w:vAlign w:val="center"/>
          </w:tcPr>
          <w:p w:rsidR="000E7E61" w:rsidRDefault="00DD09B9">
            <w:pPr>
              <w:widowControl/>
              <w:jc w:val="center"/>
              <w:textAlignment w:val="center"/>
              <w:rPr>
                <w:rFonts w:ascii="华文楷体" w:eastAsia="华文楷体" w:hAnsi="华文楷体" w:cs="华文楷体"/>
                <w:b/>
                <w:bCs/>
                <w:sz w:val="28"/>
                <w:szCs w:val="28"/>
              </w:rPr>
            </w:pPr>
            <w:r>
              <w:rPr>
                <w:rFonts w:ascii="华文楷体" w:eastAsia="华文楷体" w:hAnsi="华文楷体" w:cs="华文楷体" w:hint="eastAsia"/>
                <w:b/>
                <w:bCs/>
                <w:sz w:val="28"/>
                <w:szCs w:val="28"/>
              </w:rPr>
              <w:t>生产商全称</w:t>
            </w:r>
          </w:p>
        </w:tc>
        <w:tc>
          <w:tcPr>
            <w:tcW w:w="1828" w:type="dxa"/>
            <w:shd w:val="clear" w:color="auto" w:fill="auto"/>
            <w:tcMar>
              <w:top w:w="12" w:type="dxa"/>
              <w:left w:w="12" w:type="dxa"/>
              <w:right w:w="12" w:type="dxa"/>
            </w:tcMar>
            <w:vAlign w:val="center"/>
          </w:tcPr>
          <w:p w:rsidR="000E7E61" w:rsidRDefault="00DD09B9">
            <w:pPr>
              <w:widowControl/>
              <w:jc w:val="center"/>
              <w:textAlignment w:val="center"/>
              <w:rPr>
                <w:rFonts w:ascii="华文楷体" w:eastAsia="华文楷体" w:hAnsi="华文楷体" w:cs="华文楷体"/>
                <w:b/>
                <w:bCs/>
                <w:sz w:val="28"/>
                <w:szCs w:val="28"/>
              </w:rPr>
            </w:pPr>
            <w:r>
              <w:rPr>
                <w:rFonts w:ascii="华文楷体" w:eastAsia="华文楷体" w:hAnsi="华文楷体" w:cs="华文楷体" w:hint="eastAsia"/>
                <w:b/>
                <w:bCs/>
                <w:sz w:val="28"/>
                <w:szCs w:val="28"/>
              </w:rPr>
              <w:t>备注</w:t>
            </w:r>
          </w:p>
        </w:tc>
      </w:tr>
      <w:tr w:rsidR="008A4865">
        <w:trPr>
          <w:trHeight w:val="499"/>
        </w:trPr>
        <w:tc>
          <w:tcPr>
            <w:tcW w:w="434" w:type="dxa"/>
            <w:vMerge w:val="restart"/>
            <w:shd w:val="clear" w:color="auto" w:fill="auto"/>
            <w:tcMar>
              <w:top w:w="12" w:type="dxa"/>
              <w:left w:w="12" w:type="dxa"/>
              <w:right w:w="12" w:type="dxa"/>
            </w:tcMar>
            <w:vAlign w:val="center"/>
          </w:tcPr>
          <w:p w:rsidR="008A4865" w:rsidRDefault="008A4865">
            <w:pPr>
              <w:widowControl/>
              <w:jc w:val="center"/>
              <w:textAlignment w:val="center"/>
              <w:rPr>
                <w:rFonts w:ascii="华文楷体" w:eastAsia="华文楷体" w:hAnsi="华文楷体" w:cs="华文楷体"/>
                <w:sz w:val="28"/>
                <w:szCs w:val="28"/>
              </w:rPr>
            </w:pPr>
            <w:r>
              <w:rPr>
                <w:rFonts w:ascii="华文楷体" w:eastAsia="华文楷体" w:hAnsi="华文楷体" w:cs="华文楷体" w:hint="eastAsia"/>
                <w:sz w:val="28"/>
                <w:szCs w:val="28"/>
              </w:rPr>
              <w:t>1</w:t>
            </w:r>
          </w:p>
        </w:tc>
        <w:tc>
          <w:tcPr>
            <w:tcW w:w="1219" w:type="dxa"/>
            <w:vMerge w:val="restart"/>
            <w:shd w:val="clear" w:color="auto" w:fill="auto"/>
            <w:tcMar>
              <w:top w:w="12" w:type="dxa"/>
              <w:left w:w="12" w:type="dxa"/>
              <w:right w:w="12" w:type="dxa"/>
            </w:tcMar>
            <w:vAlign w:val="center"/>
          </w:tcPr>
          <w:p w:rsidR="008A4865" w:rsidRPr="008A4865" w:rsidRDefault="008A4865" w:rsidP="00D579EE">
            <w:pPr>
              <w:widowControl/>
              <w:jc w:val="center"/>
              <w:textAlignment w:val="center"/>
              <w:rPr>
                <w:rFonts w:ascii="华文楷体" w:eastAsia="华文楷体" w:hAnsi="华文楷体" w:cs="华文楷体"/>
                <w:sz w:val="28"/>
                <w:szCs w:val="28"/>
              </w:rPr>
            </w:pPr>
            <w:r w:rsidRPr="008A4865">
              <w:rPr>
                <w:rFonts w:ascii="华文楷体" w:eastAsia="华文楷体" w:hAnsi="华文楷体" w:cs="华文楷体" w:hint="eastAsia"/>
                <w:sz w:val="28"/>
                <w:szCs w:val="28"/>
              </w:rPr>
              <w:t>钢质防火（玻璃）门、窗</w:t>
            </w:r>
          </w:p>
        </w:tc>
        <w:tc>
          <w:tcPr>
            <w:tcW w:w="1624" w:type="dxa"/>
            <w:shd w:val="clear" w:color="auto" w:fill="auto"/>
            <w:tcMar>
              <w:top w:w="12" w:type="dxa"/>
              <w:left w:w="12" w:type="dxa"/>
              <w:right w:w="12" w:type="dxa"/>
            </w:tcMar>
            <w:vAlign w:val="center"/>
          </w:tcPr>
          <w:p w:rsidR="008A4865" w:rsidRPr="008A4865" w:rsidRDefault="008A4865" w:rsidP="00D579EE">
            <w:pPr>
              <w:widowControl/>
              <w:jc w:val="center"/>
              <w:textAlignment w:val="center"/>
              <w:rPr>
                <w:rFonts w:ascii="华文楷体" w:eastAsia="华文楷体" w:hAnsi="华文楷体" w:cs="华文楷体"/>
                <w:sz w:val="28"/>
                <w:szCs w:val="28"/>
              </w:rPr>
            </w:pPr>
            <w:r w:rsidRPr="008A4865">
              <w:rPr>
                <w:rFonts w:ascii="华文楷体" w:eastAsia="华文楷体" w:hAnsi="华文楷体" w:cs="华文楷体" w:hint="eastAsia"/>
                <w:sz w:val="28"/>
                <w:szCs w:val="28"/>
              </w:rPr>
              <w:t>安集</w:t>
            </w:r>
          </w:p>
        </w:tc>
        <w:tc>
          <w:tcPr>
            <w:tcW w:w="4341" w:type="dxa"/>
            <w:shd w:val="clear" w:color="auto" w:fill="auto"/>
            <w:tcMar>
              <w:top w:w="12" w:type="dxa"/>
              <w:left w:w="12" w:type="dxa"/>
              <w:right w:w="12" w:type="dxa"/>
            </w:tcMar>
            <w:vAlign w:val="center"/>
          </w:tcPr>
          <w:p w:rsidR="008A4865" w:rsidRPr="008A4865" w:rsidRDefault="008A4865" w:rsidP="00D579EE">
            <w:pPr>
              <w:widowControl/>
              <w:jc w:val="center"/>
              <w:textAlignment w:val="center"/>
              <w:rPr>
                <w:rFonts w:ascii="华文楷体" w:eastAsia="华文楷体" w:hAnsi="华文楷体" w:cs="华文楷体"/>
                <w:sz w:val="28"/>
                <w:szCs w:val="28"/>
              </w:rPr>
            </w:pPr>
            <w:r w:rsidRPr="008A4865">
              <w:rPr>
                <w:rFonts w:ascii="华文楷体" w:eastAsia="华文楷体" w:hAnsi="华文楷体" w:cs="华文楷体" w:hint="eastAsia"/>
                <w:sz w:val="28"/>
                <w:szCs w:val="28"/>
              </w:rPr>
              <w:t>南京安集门窗有限公司</w:t>
            </w:r>
          </w:p>
        </w:tc>
        <w:tc>
          <w:tcPr>
            <w:tcW w:w="1828" w:type="dxa"/>
            <w:shd w:val="clear" w:color="auto" w:fill="auto"/>
            <w:tcMar>
              <w:top w:w="12" w:type="dxa"/>
              <w:left w:w="12" w:type="dxa"/>
              <w:right w:w="12" w:type="dxa"/>
            </w:tcMar>
            <w:vAlign w:val="center"/>
          </w:tcPr>
          <w:p w:rsidR="008A4865" w:rsidRDefault="008A4865">
            <w:pPr>
              <w:widowControl/>
              <w:jc w:val="center"/>
              <w:textAlignment w:val="center"/>
              <w:rPr>
                <w:rFonts w:ascii="华文楷体" w:eastAsia="华文楷体" w:hAnsi="华文楷体" w:cs="华文楷体"/>
                <w:sz w:val="28"/>
                <w:szCs w:val="28"/>
              </w:rPr>
            </w:pPr>
          </w:p>
        </w:tc>
      </w:tr>
      <w:tr w:rsidR="008A4865">
        <w:trPr>
          <w:trHeight w:val="499"/>
        </w:trPr>
        <w:tc>
          <w:tcPr>
            <w:tcW w:w="434" w:type="dxa"/>
            <w:vMerge/>
            <w:shd w:val="clear" w:color="auto" w:fill="auto"/>
            <w:tcMar>
              <w:top w:w="12" w:type="dxa"/>
              <w:left w:w="12" w:type="dxa"/>
              <w:right w:w="12" w:type="dxa"/>
            </w:tcMar>
            <w:vAlign w:val="center"/>
          </w:tcPr>
          <w:p w:rsidR="008A4865" w:rsidRDefault="008A4865">
            <w:pPr>
              <w:jc w:val="center"/>
              <w:rPr>
                <w:rFonts w:ascii="华文楷体" w:eastAsia="华文楷体" w:hAnsi="华文楷体" w:cs="华文楷体"/>
                <w:sz w:val="28"/>
                <w:szCs w:val="28"/>
              </w:rPr>
            </w:pPr>
          </w:p>
        </w:tc>
        <w:tc>
          <w:tcPr>
            <w:tcW w:w="1219" w:type="dxa"/>
            <w:vMerge/>
            <w:shd w:val="clear" w:color="auto" w:fill="auto"/>
            <w:tcMar>
              <w:top w:w="12" w:type="dxa"/>
              <w:left w:w="12" w:type="dxa"/>
              <w:right w:w="12" w:type="dxa"/>
            </w:tcMar>
            <w:vAlign w:val="center"/>
          </w:tcPr>
          <w:p w:rsidR="008A4865" w:rsidRDefault="008A4865">
            <w:pPr>
              <w:rPr>
                <w:rFonts w:ascii="华文楷体" w:eastAsia="华文楷体" w:hAnsi="华文楷体" w:cs="华文楷体"/>
                <w:sz w:val="28"/>
                <w:szCs w:val="28"/>
              </w:rPr>
            </w:pPr>
          </w:p>
        </w:tc>
        <w:tc>
          <w:tcPr>
            <w:tcW w:w="1624" w:type="dxa"/>
            <w:shd w:val="clear" w:color="auto" w:fill="auto"/>
            <w:tcMar>
              <w:top w:w="12" w:type="dxa"/>
              <w:left w:w="12" w:type="dxa"/>
              <w:right w:w="12" w:type="dxa"/>
            </w:tcMar>
            <w:vAlign w:val="center"/>
          </w:tcPr>
          <w:p w:rsidR="008A4865" w:rsidRDefault="008A4865">
            <w:pPr>
              <w:widowControl/>
              <w:jc w:val="center"/>
              <w:textAlignment w:val="center"/>
              <w:rPr>
                <w:rFonts w:ascii="华文楷体" w:eastAsia="华文楷体" w:hAnsi="华文楷体" w:cs="华文楷体"/>
                <w:sz w:val="28"/>
                <w:szCs w:val="28"/>
              </w:rPr>
            </w:pPr>
            <w:r w:rsidRPr="008A4865">
              <w:rPr>
                <w:rFonts w:ascii="华文楷体" w:eastAsia="华文楷体" w:hAnsi="华文楷体" w:cs="华文楷体" w:hint="eastAsia"/>
                <w:sz w:val="28"/>
                <w:szCs w:val="28"/>
              </w:rPr>
              <w:t>京安</w:t>
            </w:r>
          </w:p>
        </w:tc>
        <w:tc>
          <w:tcPr>
            <w:tcW w:w="4341" w:type="dxa"/>
            <w:shd w:val="clear" w:color="auto" w:fill="auto"/>
            <w:tcMar>
              <w:top w:w="12" w:type="dxa"/>
              <w:left w:w="12" w:type="dxa"/>
              <w:right w:w="12" w:type="dxa"/>
            </w:tcMar>
            <w:vAlign w:val="center"/>
          </w:tcPr>
          <w:p w:rsidR="008A4865" w:rsidRDefault="008A4865">
            <w:pPr>
              <w:widowControl/>
              <w:jc w:val="center"/>
              <w:textAlignment w:val="center"/>
              <w:rPr>
                <w:rFonts w:ascii="华文楷体" w:eastAsia="华文楷体" w:hAnsi="华文楷体" w:cs="华文楷体"/>
                <w:sz w:val="28"/>
                <w:szCs w:val="28"/>
              </w:rPr>
            </w:pPr>
            <w:r w:rsidRPr="008A4865">
              <w:rPr>
                <w:rFonts w:ascii="华文楷体" w:eastAsia="华文楷体" w:hAnsi="华文楷体" w:cs="华文楷体" w:hint="eastAsia"/>
                <w:sz w:val="28"/>
                <w:szCs w:val="28"/>
              </w:rPr>
              <w:t>江苏京安消防设备制造有限公司</w:t>
            </w:r>
          </w:p>
        </w:tc>
        <w:tc>
          <w:tcPr>
            <w:tcW w:w="1828" w:type="dxa"/>
            <w:shd w:val="clear" w:color="auto" w:fill="auto"/>
            <w:tcMar>
              <w:top w:w="12" w:type="dxa"/>
              <w:left w:w="12" w:type="dxa"/>
              <w:right w:w="12" w:type="dxa"/>
            </w:tcMar>
            <w:vAlign w:val="center"/>
          </w:tcPr>
          <w:p w:rsidR="008A4865" w:rsidRDefault="008A4865">
            <w:pPr>
              <w:widowControl/>
              <w:jc w:val="center"/>
              <w:textAlignment w:val="center"/>
              <w:rPr>
                <w:rFonts w:ascii="华文楷体" w:eastAsia="华文楷体" w:hAnsi="华文楷体" w:cs="华文楷体"/>
                <w:sz w:val="28"/>
                <w:szCs w:val="28"/>
              </w:rPr>
            </w:pPr>
          </w:p>
        </w:tc>
      </w:tr>
      <w:tr w:rsidR="008A4865">
        <w:trPr>
          <w:trHeight w:val="499"/>
        </w:trPr>
        <w:tc>
          <w:tcPr>
            <w:tcW w:w="434" w:type="dxa"/>
            <w:vMerge/>
            <w:shd w:val="clear" w:color="auto" w:fill="auto"/>
            <w:tcMar>
              <w:top w:w="12" w:type="dxa"/>
              <w:left w:w="12" w:type="dxa"/>
              <w:right w:w="12" w:type="dxa"/>
            </w:tcMar>
            <w:vAlign w:val="center"/>
          </w:tcPr>
          <w:p w:rsidR="008A4865" w:rsidRDefault="008A4865">
            <w:pPr>
              <w:jc w:val="center"/>
              <w:rPr>
                <w:rFonts w:ascii="华文楷体" w:eastAsia="华文楷体" w:hAnsi="华文楷体" w:cs="华文楷体"/>
                <w:sz w:val="28"/>
                <w:szCs w:val="28"/>
              </w:rPr>
            </w:pPr>
          </w:p>
        </w:tc>
        <w:tc>
          <w:tcPr>
            <w:tcW w:w="1219" w:type="dxa"/>
            <w:vMerge/>
            <w:shd w:val="clear" w:color="auto" w:fill="auto"/>
            <w:tcMar>
              <w:top w:w="12" w:type="dxa"/>
              <w:left w:w="12" w:type="dxa"/>
              <w:right w:w="12" w:type="dxa"/>
            </w:tcMar>
            <w:vAlign w:val="center"/>
          </w:tcPr>
          <w:p w:rsidR="008A4865" w:rsidRDefault="008A4865">
            <w:pPr>
              <w:rPr>
                <w:rFonts w:ascii="华文楷体" w:eastAsia="华文楷体" w:hAnsi="华文楷体" w:cs="华文楷体"/>
                <w:sz w:val="28"/>
                <w:szCs w:val="28"/>
              </w:rPr>
            </w:pPr>
          </w:p>
        </w:tc>
        <w:tc>
          <w:tcPr>
            <w:tcW w:w="1624" w:type="dxa"/>
            <w:shd w:val="clear" w:color="auto" w:fill="auto"/>
            <w:tcMar>
              <w:top w:w="12" w:type="dxa"/>
              <w:left w:w="12" w:type="dxa"/>
              <w:right w:w="12" w:type="dxa"/>
            </w:tcMar>
            <w:vAlign w:val="center"/>
          </w:tcPr>
          <w:p w:rsidR="008A4865" w:rsidRDefault="008A4865">
            <w:pPr>
              <w:widowControl/>
              <w:jc w:val="center"/>
              <w:textAlignment w:val="center"/>
              <w:rPr>
                <w:rFonts w:ascii="华文楷体" w:eastAsia="华文楷体" w:hAnsi="华文楷体" w:cs="华文楷体"/>
                <w:sz w:val="28"/>
                <w:szCs w:val="28"/>
              </w:rPr>
            </w:pPr>
            <w:r w:rsidRPr="008A4865">
              <w:rPr>
                <w:rFonts w:ascii="华文楷体" w:eastAsia="华文楷体" w:hAnsi="华文楷体" w:cs="华文楷体" w:hint="eastAsia"/>
                <w:sz w:val="28"/>
                <w:szCs w:val="28"/>
              </w:rPr>
              <w:t>汇丰</w:t>
            </w:r>
          </w:p>
        </w:tc>
        <w:tc>
          <w:tcPr>
            <w:tcW w:w="4341" w:type="dxa"/>
            <w:shd w:val="clear" w:color="auto" w:fill="auto"/>
            <w:tcMar>
              <w:top w:w="12" w:type="dxa"/>
              <w:left w:w="12" w:type="dxa"/>
              <w:right w:w="12" w:type="dxa"/>
            </w:tcMar>
            <w:vAlign w:val="center"/>
          </w:tcPr>
          <w:p w:rsidR="008A4865" w:rsidRDefault="008A4865">
            <w:pPr>
              <w:widowControl/>
              <w:jc w:val="center"/>
              <w:textAlignment w:val="center"/>
              <w:rPr>
                <w:rFonts w:ascii="华文楷体" w:eastAsia="华文楷体" w:hAnsi="华文楷体" w:cs="华文楷体"/>
                <w:sz w:val="28"/>
                <w:szCs w:val="28"/>
              </w:rPr>
            </w:pPr>
            <w:r w:rsidRPr="008A4865">
              <w:rPr>
                <w:rFonts w:ascii="华文楷体" w:eastAsia="华文楷体" w:hAnsi="华文楷体" w:cs="华文楷体" w:hint="eastAsia"/>
                <w:sz w:val="28"/>
                <w:szCs w:val="28"/>
              </w:rPr>
              <w:t>南京汇丰消防设备有限公司</w:t>
            </w:r>
          </w:p>
        </w:tc>
        <w:tc>
          <w:tcPr>
            <w:tcW w:w="1828" w:type="dxa"/>
            <w:shd w:val="clear" w:color="auto" w:fill="auto"/>
            <w:tcMar>
              <w:top w:w="12" w:type="dxa"/>
              <w:left w:w="12" w:type="dxa"/>
              <w:right w:w="12" w:type="dxa"/>
            </w:tcMar>
            <w:vAlign w:val="center"/>
          </w:tcPr>
          <w:p w:rsidR="008A4865" w:rsidRDefault="008A4865">
            <w:pPr>
              <w:widowControl/>
              <w:jc w:val="center"/>
              <w:textAlignment w:val="center"/>
              <w:rPr>
                <w:rFonts w:ascii="华文楷体" w:eastAsia="华文楷体" w:hAnsi="华文楷体" w:cs="华文楷体"/>
                <w:sz w:val="28"/>
                <w:szCs w:val="28"/>
              </w:rPr>
            </w:pPr>
          </w:p>
        </w:tc>
      </w:tr>
    </w:tbl>
    <w:p w:rsidR="000E7E61" w:rsidRDefault="000E7E61">
      <w:pPr>
        <w:spacing w:line="360" w:lineRule="auto"/>
        <w:rPr>
          <w:rFonts w:ascii="华文楷体" w:eastAsia="华文楷体" w:hAnsi="华文楷体" w:cs="华文楷体"/>
          <w:sz w:val="28"/>
          <w:szCs w:val="28"/>
        </w:rPr>
      </w:pPr>
      <w:bookmarkStart w:id="0" w:name="_GoBack"/>
      <w:bookmarkEnd w:id="0"/>
    </w:p>
    <w:p w:rsidR="000E7E61" w:rsidRDefault="00DD09B9">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、主要材料技术标准和质量要求如下：</w:t>
      </w:r>
    </w:p>
    <w:p w:rsidR="000E7E61" w:rsidRDefault="00DD09B9">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本技术条件是最低限度的技术要求，并未对一切技术细节</w:t>
      </w:r>
      <w:proofErr w:type="gramStart"/>
      <w:r>
        <w:rPr>
          <w:rFonts w:ascii="华文楷体" w:eastAsia="华文楷体" w:hAnsi="华文楷体" w:cs="华文楷体" w:hint="eastAsia"/>
          <w:sz w:val="28"/>
          <w:szCs w:val="28"/>
        </w:rPr>
        <w:t>作出</w:t>
      </w:r>
      <w:proofErr w:type="gramEnd"/>
      <w:r>
        <w:rPr>
          <w:rFonts w:ascii="华文楷体" w:eastAsia="华文楷体" w:hAnsi="华文楷体" w:cs="华文楷体" w:hint="eastAsia"/>
          <w:sz w:val="28"/>
          <w:szCs w:val="28"/>
        </w:rPr>
        <w:t>规定，也未充分引述有关标准和规范的条文，投标人应保证提供符合本技术条件和有关最新标准的优质产品。如所述技术要求低于上述标准和规范的要求，则按标准和规范的要求执行；如高于标准和规范的要求，则按本条款要求执行。若提供的技术文件中所列的规范、标准停用或废止，则以相应的最新版本为准。</w:t>
      </w:r>
    </w:p>
    <w:p w:rsidR="000E7E61" w:rsidRDefault="00DD09B9">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（二）招标人自行采购的主要材料设备：无。</w:t>
      </w:r>
    </w:p>
    <w:p w:rsidR="000E7E61" w:rsidRDefault="00DD09B9">
      <w:pPr>
        <w:spacing w:line="360" w:lineRule="auto"/>
        <w:rPr>
          <w:rFonts w:ascii="华文楷体" w:eastAsia="华文楷体" w:hAnsi="华文楷体" w:cs="华文楷体"/>
          <w:b/>
          <w:bCs/>
          <w:sz w:val="28"/>
          <w:szCs w:val="28"/>
        </w:rPr>
      </w:pPr>
      <w:r>
        <w:rPr>
          <w:rFonts w:ascii="华文楷体" w:eastAsia="华文楷体" w:hAnsi="华文楷体" w:cs="华文楷体" w:hint="eastAsia"/>
          <w:b/>
          <w:bCs/>
          <w:sz w:val="28"/>
          <w:szCs w:val="28"/>
        </w:rPr>
        <w:t>六</w:t>
      </w:r>
      <w:r>
        <w:rPr>
          <w:rFonts w:ascii="华文楷体" w:eastAsia="华文楷体" w:hAnsi="华文楷体" w:cs="华文楷体" w:hint="eastAsia"/>
          <w:b/>
          <w:bCs/>
          <w:sz w:val="28"/>
          <w:szCs w:val="28"/>
        </w:rPr>
        <w:t>、其他说明</w:t>
      </w:r>
    </w:p>
    <w:p w:rsidR="000E7E61" w:rsidRDefault="00DD09B9">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1</w:t>
      </w:r>
      <w:r>
        <w:rPr>
          <w:rFonts w:ascii="华文楷体" w:eastAsia="华文楷体" w:hAnsi="华文楷体" w:cs="华文楷体" w:hint="eastAsia"/>
          <w:sz w:val="28"/>
          <w:szCs w:val="28"/>
        </w:rPr>
        <w:t>、投标人应在认真理解和熟悉招标文件，经现场踏勘后，综合考虑清单中各分部分项工程包括管理费、利润、风险费、</w:t>
      </w:r>
      <w:proofErr w:type="gramStart"/>
      <w:r>
        <w:rPr>
          <w:rFonts w:ascii="华文楷体" w:eastAsia="华文楷体" w:hAnsi="华文楷体" w:cs="华文楷体" w:hint="eastAsia"/>
          <w:sz w:val="28"/>
          <w:szCs w:val="28"/>
        </w:rPr>
        <w:t>规</w:t>
      </w:r>
      <w:proofErr w:type="gramEnd"/>
      <w:r>
        <w:rPr>
          <w:rFonts w:ascii="华文楷体" w:eastAsia="华文楷体" w:hAnsi="华文楷体" w:cs="华文楷体" w:hint="eastAsia"/>
          <w:sz w:val="28"/>
          <w:szCs w:val="28"/>
        </w:rPr>
        <w:t>费、税金等全部费用清单报价，无论清单特征中是否描述，投标人综合单价均应包含完成本清单项目</w:t>
      </w:r>
      <w:r>
        <w:rPr>
          <w:rFonts w:ascii="华文楷体" w:eastAsia="华文楷体" w:hAnsi="华文楷体" w:cs="华文楷体" w:hint="eastAsia"/>
          <w:sz w:val="28"/>
          <w:szCs w:val="28"/>
        </w:rPr>
        <w:lastRenderedPageBreak/>
        <w:t>所有工作内容的费用。</w:t>
      </w:r>
    </w:p>
    <w:p w:rsidR="000E7E61" w:rsidRDefault="00DD09B9">
      <w:pPr>
        <w:spacing w:line="360" w:lineRule="auto"/>
        <w:ind w:firstLineChars="200" w:firstLine="560"/>
        <w:rPr>
          <w:rFonts w:ascii="华文楷体" w:eastAsia="华文楷体" w:hAnsi="华文楷体" w:cs="华文楷体"/>
          <w:sz w:val="28"/>
          <w:szCs w:val="28"/>
        </w:rPr>
      </w:pPr>
      <w:r>
        <w:rPr>
          <w:rFonts w:ascii="华文楷体" w:eastAsia="华文楷体" w:hAnsi="华文楷体" w:cs="华文楷体" w:hint="eastAsia"/>
          <w:sz w:val="28"/>
          <w:szCs w:val="28"/>
        </w:rPr>
        <w:t>2</w:t>
      </w:r>
      <w:r>
        <w:rPr>
          <w:rFonts w:ascii="华文楷体" w:eastAsia="华文楷体" w:hAnsi="华文楷体" w:cs="华文楷体" w:hint="eastAsia"/>
          <w:sz w:val="28"/>
          <w:szCs w:val="28"/>
        </w:rPr>
        <w:t>、各投标人在进行综合报价时必须结合招标文件中的相关条款及清单描述进行报价，清单子目中未能对各节点进行完全性描述的必须结合</w:t>
      </w:r>
      <w:r>
        <w:rPr>
          <w:rFonts w:ascii="华文楷体" w:eastAsia="华文楷体" w:hAnsi="华文楷体" w:cs="华文楷体" w:hint="eastAsia"/>
          <w:sz w:val="28"/>
          <w:szCs w:val="28"/>
        </w:rPr>
        <w:t>实际情况</w:t>
      </w:r>
      <w:r>
        <w:rPr>
          <w:rFonts w:ascii="华文楷体" w:eastAsia="华文楷体" w:hAnsi="华文楷体" w:cs="华文楷体" w:hint="eastAsia"/>
          <w:sz w:val="28"/>
          <w:szCs w:val="28"/>
        </w:rPr>
        <w:t>详细节点进行报价，否则视为已计入相应项目综合单价内，中标后将不调整综合单价。若招标文件中相关条款及清单描述有冲突的，投标人应在“澄清答疑”环节中向招标人提出，招标人将在“澄清答疑”环节中答复；投标人未在“澄清答疑”环节提出的，则最终解释权归属于招标人。</w:t>
      </w:r>
    </w:p>
    <w:p w:rsidR="000E7E61" w:rsidRDefault="000E7E61">
      <w:pPr>
        <w:autoSpaceDE w:val="0"/>
        <w:autoSpaceDN w:val="0"/>
        <w:adjustRightInd w:val="0"/>
        <w:spacing w:line="360" w:lineRule="auto"/>
        <w:ind w:firstLineChars="200" w:firstLine="560"/>
        <w:jc w:val="left"/>
        <w:rPr>
          <w:rFonts w:ascii="华文楷体" w:eastAsia="华文楷体" w:hAnsi="华文楷体" w:cs="华文楷体"/>
          <w:sz w:val="28"/>
          <w:szCs w:val="28"/>
        </w:rPr>
      </w:pPr>
    </w:p>
    <w:sectPr w:rsidR="000E7E61">
      <w:pgSz w:w="11906" w:h="16838"/>
      <w:pgMar w:top="1440" w:right="1286" w:bottom="1440" w:left="13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09B9" w:rsidRDefault="00DD09B9" w:rsidP="008A4865">
      <w:r>
        <w:separator/>
      </w:r>
    </w:p>
  </w:endnote>
  <w:endnote w:type="continuationSeparator" w:id="0">
    <w:p w:rsidR="00DD09B9" w:rsidRDefault="00DD09B9" w:rsidP="008A4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09B9" w:rsidRDefault="00DD09B9" w:rsidP="008A4865">
      <w:r>
        <w:separator/>
      </w:r>
    </w:p>
  </w:footnote>
  <w:footnote w:type="continuationSeparator" w:id="0">
    <w:p w:rsidR="00DD09B9" w:rsidRDefault="00DD09B9" w:rsidP="008A486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7386A48"/>
    <w:multiLevelType w:val="singleLevel"/>
    <w:tmpl w:val="C7386A48"/>
    <w:lvl w:ilvl="0">
      <w:start w:val="1"/>
      <w:numFmt w:val="chineseCounting"/>
      <w:suff w:val="nothing"/>
      <w:lvlText w:val="%1、"/>
      <w:lvlJc w:val="left"/>
      <w:rPr>
        <w:rFonts w:hint="eastAsia"/>
      </w:rPr>
    </w:lvl>
  </w:abstractNum>
  <w:abstractNum w:abstractNumId="1">
    <w:nsid w:val="39C0874D"/>
    <w:multiLevelType w:val="singleLevel"/>
    <w:tmpl w:val="39C0874D"/>
    <w:lvl w:ilvl="0">
      <w:start w:val="1"/>
      <w:numFmt w:val="decimal"/>
      <w:suff w:val="nothing"/>
      <w:lvlText w:val="%1、"/>
      <w:lvlJc w:val="left"/>
    </w:lvl>
  </w:abstractNum>
  <w:abstractNum w:abstractNumId="2">
    <w:nsid w:val="7210947C"/>
    <w:multiLevelType w:val="singleLevel"/>
    <w:tmpl w:val="7210947C"/>
    <w:lvl w:ilvl="0">
      <w:start w:val="2"/>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2MmM5N2U4Yzg4MDgyMzBjM2JhN2I1MDk1N2UzZWEifQ=="/>
  </w:docVars>
  <w:rsids>
    <w:rsidRoot w:val="00E80598"/>
    <w:rsid w:val="00003B10"/>
    <w:rsid w:val="00040349"/>
    <w:rsid w:val="00070CA5"/>
    <w:rsid w:val="000878B4"/>
    <w:rsid w:val="00094F0E"/>
    <w:rsid w:val="000C5F5E"/>
    <w:rsid w:val="000E7E61"/>
    <w:rsid w:val="00130701"/>
    <w:rsid w:val="001D3A5E"/>
    <w:rsid w:val="00224361"/>
    <w:rsid w:val="00340E3E"/>
    <w:rsid w:val="003C551D"/>
    <w:rsid w:val="003D4DFA"/>
    <w:rsid w:val="0041308F"/>
    <w:rsid w:val="004278D2"/>
    <w:rsid w:val="00457557"/>
    <w:rsid w:val="00462E4D"/>
    <w:rsid w:val="004A69EC"/>
    <w:rsid w:val="004C3E75"/>
    <w:rsid w:val="004E1038"/>
    <w:rsid w:val="005453BC"/>
    <w:rsid w:val="005733F8"/>
    <w:rsid w:val="00587E4B"/>
    <w:rsid w:val="005C7A6B"/>
    <w:rsid w:val="006035F5"/>
    <w:rsid w:val="006252DA"/>
    <w:rsid w:val="006A6281"/>
    <w:rsid w:val="006D6139"/>
    <w:rsid w:val="006E0A43"/>
    <w:rsid w:val="006F1DF0"/>
    <w:rsid w:val="00716093"/>
    <w:rsid w:val="00770FE5"/>
    <w:rsid w:val="00777DEA"/>
    <w:rsid w:val="00784A79"/>
    <w:rsid w:val="00792C2E"/>
    <w:rsid w:val="007E7818"/>
    <w:rsid w:val="007F7C1D"/>
    <w:rsid w:val="00847CE5"/>
    <w:rsid w:val="00850ECA"/>
    <w:rsid w:val="00855A30"/>
    <w:rsid w:val="008964D1"/>
    <w:rsid w:val="008A4865"/>
    <w:rsid w:val="008B79F8"/>
    <w:rsid w:val="009220B0"/>
    <w:rsid w:val="009C2E62"/>
    <w:rsid w:val="009F7256"/>
    <w:rsid w:val="00A63FC9"/>
    <w:rsid w:val="00AB037F"/>
    <w:rsid w:val="00AB5606"/>
    <w:rsid w:val="00AC1EED"/>
    <w:rsid w:val="00B276BE"/>
    <w:rsid w:val="00B276F7"/>
    <w:rsid w:val="00B45773"/>
    <w:rsid w:val="00B46074"/>
    <w:rsid w:val="00B618D2"/>
    <w:rsid w:val="00C24412"/>
    <w:rsid w:val="00C30855"/>
    <w:rsid w:val="00C34BCE"/>
    <w:rsid w:val="00C36851"/>
    <w:rsid w:val="00C9616D"/>
    <w:rsid w:val="00CA1596"/>
    <w:rsid w:val="00CB729C"/>
    <w:rsid w:val="00D10226"/>
    <w:rsid w:val="00D53389"/>
    <w:rsid w:val="00DD09B9"/>
    <w:rsid w:val="00E03455"/>
    <w:rsid w:val="00E80598"/>
    <w:rsid w:val="00E924B2"/>
    <w:rsid w:val="00EA4032"/>
    <w:rsid w:val="00ED2F94"/>
    <w:rsid w:val="00EE3AC7"/>
    <w:rsid w:val="00F106A9"/>
    <w:rsid w:val="00F35A42"/>
    <w:rsid w:val="00F637EC"/>
    <w:rsid w:val="00F86DE8"/>
    <w:rsid w:val="00FD2FBA"/>
    <w:rsid w:val="05637CE9"/>
    <w:rsid w:val="0617371C"/>
    <w:rsid w:val="06494ACC"/>
    <w:rsid w:val="069E7F5D"/>
    <w:rsid w:val="0D071482"/>
    <w:rsid w:val="10CF1944"/>
    <w:rsid w:val="127C008F"/>
    <w:rsid w:val="155D0C1F"/>
    <w:rsid w:val="15803988"/>
    <w:rsid w:val="16500C6A"/>
    <w:rsid w:val="16CC55E9"/>
    <w:rsid w:val="16D4039C"/>
    <w:rsid w:val="17E83B2A"/>
    <w:rsid w:val="17F607B2"/>
    <w:rsid w:val="219400F4"/>
    <w:rsid w:val="22715C4D"/>
    <w:rsid w:val="255F78C7"/>
    <w:rsid w:val="33CD3E70"/>
    <w:rsid w:val="35712C15"/>
    <w:rsid w:val="35FA5E53"/>
    <w:rsid w:val="382F2312"/>
    <w:rsid w:val="414738E4"/>
    <w:rsid w:val="44E8447B"/>
    <w:rsid w:val="46E65562"/>
    <w:rsid w:val="46EE76C2"/>
    <w:rsid w:val="52D906BF"/>
    <w:rsid w:val="55316CE7"/>
    <w:rsid w:val="5BCE5477"/>
    <w:rsid w:val="5ED65A59"/>
    <w:rsid w:val="5EF35573"/>
    <w:rsid w:val="6CFD61C1"/>
    <w:rsid w:val="6DD7333F"/>
    <w:rsid w:val="6ECE536B"/>
    <w:rsid w:val="6F2816D6"/>
    <w:rsid w:val="6FA554C1"/>
    <w:rsid w:val="764C1581"/>
    <w:rsid w:val="79345BD4"/>
    <w:rsid w:val="7CE77619"/>
    <w:rsid w:val="7D5F11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iPriority="9" w:unhideWhenUsed="0" w:qFormat="1"/>
    <w:lsdException w:name="heading 3" w:uiPriority="9"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qFormat="1"/>
    <w:lsdException w:name="footnote text" w:semiHidden="1"/>
    <w:lsdException w:name="annotation text" w:uiPriority="0" w:unhideWhenUsed="0" w:qFormat="1"/>
    <w:lsdException w:name="header" w:unhideWhenUsed="0" w:qFormat="1"/>
    <w:lsdException w:name="footer" w:unhideWhenUsed="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semiHidden="1"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uiPriority="0" w:unhideWhenUsed="0" w:qFormat="1"/>
    <w:lsdException w:name="Body Text Indent 2" w:semiHidden="1"/>
    <w:lsdException w:name="Body Text Indent 3" w:semiHidden="1"/>
    <w:lsdException w:name="Block Text" w:semiHidden="1"/>
    <w:lsdException w:name="Hyperlink"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nhideWhenUsed="0" w:qFormat="1"/>
    <w:lsdException w:name="HTML Sample" w:semiHidden="1"/>
    <w:lsdException w:name="HTML Typewriter" w:semiHidden="1"/>
    <w:lsdException w:name="HTML Variable" w:semiHidden="1"/>
    <w:lsdException w:name="Normal Table" w:semiHidden="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0"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right="-11" w:firstLineChars="200" w:firstLine="420"/>
    </w:pPr>
  </w:style>
  <w:style w:type="paragraph" w:styleId="7">
    <w:name w:val="toc 7"/>
    <w:basedOn w:val="a"/>
    <w:next w:val="a"/>
    <w:uiPriority w:val="39"/>
    <w:unhideWhenUsed/>
    <w:qFormat/>
    <w:pPr>
      <w:ind w:leftChars="1200" w:left="2520"/>
    </w:pPr>
  </w:style>
  <w:style w:type="paragraph" w:styleId="a4">
    <w:name w:val="annotation text"/>
    <w:basedOn w:val="a"/>
    <w:link w:val="Char"/>
    <w:qFormat/>
    <w:pPr>
      <w:jc w:val="left"/>
    </w:pPr>
    <w:rPr>
      <w:rFonts w:ascii="Times New Roman" w:eastAsia="宋体" w:hAnsi="Times New Roman" w:cs="Times New Roman"/>
      <w:szCs w:val="24"/>
    </w:rPr>
  </w:style>
  <w:style w:type="paragraph" w:styleId="30">
    <w:name w:val="Body Text 3"/>
    <w:basedOn w:val="a"/>
    <w:link w:val="3Char0"/>
    <w:qFormat/>
    <w:rPr>
      <w:rFonts w:ascii="宋体" w:eastAsia="宋体"/>
      <w:sz w:val="24"/>
    </w:rPr>
  </w:style>
  <w:style w:type="paragraph" w:styleId="a5">
    <w:name w:val="Body Text"/>
    <w:basedOn w:val="a"/>
    <w:link w:val="Char0"/>
    <w:qFormat/>
    <w:pPr>
      <w:spacing w:after="120" w:line="360" w:lineRule="auto"/>
    </w:pPr>
    <w:rPr>
      <w:rFonts w:ascii="Times New Roman" w:eastAsia="宋体" w:hAnsi="Times New Roman" w:cs="Times New Roman"/>
      <w:szCs w:val="20"/>
    </w:rPr>
  </w:style>
  <w:style w:type="paragraph" w:styleId="5">
    <w:name w:val="toc 5"/>
    <w:basedOn w:val="a"/>
    <w:next w:val="a"/>
    <w:uiPriority w:val="39"/>
    <w:unhideWhenUsed/>
    <w:qFormat/>
    <w:pPr>
      <w:ind w:leftChars="800" w:left="1680"/>
    </w:pPr>
  </w:style>
  <w:style w:type="paragraph" w:styleId="31">
    <w:name w:val="toc 3"/>
    <w:basedOn w:val="a"/>
    <w:next w:val="a"/>
    <w:uiPriority w:val="39"/>
    <w:unhideWhenUsed/>
    <w:qFormat/>
    <w:pPr>
      <w:ind w:leftChars="400" w:left="840" w:right="-11"/>
    </w:pPr>
  </w:style>
  <w:style w:type="paragraph" w:styleId="8">
    <w:name w:val="toc 8"/>
    <w:basedOn w:val="a"/>
    <w:next w:val="a"/>
    <w:uiPriority w:val="39"/>
    <w:unhideWhenUsed/>
    <w:qFormat/>
    <w:pPr>
      <w:ind w:leftChars="1400" w:left="2940"/>
    </w:pPr>
  </w:style>
  <w:style w:type="paragraph" w:styleId="a6">
    <w:name w:val="Balloon Text"/>
    <w:basedOn w:val="a"/>
    <w:link w:val="Char1"/>
    <w:uiPriority w:val="99"/>
    <w:qFormat/>
    <w:rPr>
      <w:rFonts w:ascii="Times New Roman" w:eastAsia="宋体" w:hAnsi="Times New Roman" w:cs="Times New Roman"/>
      <w:sz w:val="18"/>
      <w:szCs w:val="18"/>
    </w:rPr>
  </w:style>
  <w:style w:type="paragraph" w:styleId="a7">
    <w:name w:val="footer"/>
    <w:basedOn w:val="a"/>
    <w:link w:val="Char2"/>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uiPriority w:val="39"/>
    <w:unhideWhenUsed/>
    <w:qFormat/>
    <w:pPr>
      <w:ind w:leftChars="600" w:left="1260"/>
    </w:pPr>
  </w:style>
  <w:style w:type="paragraph" w:styleId="6">
    <w:name w:val="toc 6"/>
    <w:basedOn w:val="a"/>
    <w:next w:val="a"/>
    <w:uiPriority w:val="39"/>
    <w:unhideWhenUsed/>
    <w:qFormat/>
    <w:pPr>
      <w:ind w:leftChars="1000" w:left="2100"/>
    </w:pPr>
  </w:style>
  <w:style w:type="paragraph" w:styleId="20">
    <w:name w:val="toc 2"/>
    <w:basedOn w:val="a"/>
    <w:next w:val="a"/>
    <w:uiPriority w:val="39"/>
    <w:unhideWhenUsed/>
    <w:qFormat/>
    <w:pPr>
      <w:ind w:leftChars="200" w:left="420" w:right="-11"/>
    </w:pPr>
  </w:style>
  <w:style w:type="paragraph" w:styleId="9">
    <w:name w:val="toc 9"/>
    <w:basedOn w:val="a"/>
    <w:next w:val="a"/>
    <w:uiPriority w:val="39"/>
    <w:unhideWhenUsed/>
    <w:qFormat/>
    <w:pPr>
      <w:ind w:leftChars="1600" w:left="3360"/>
    </w:p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Normal (Web)"/>
    <w:basedOn w:val="a"/>
    <w:qFormat/>
    <w:pPr>
      <w:spacing w:before="100" w:beforeAutospacing="1" w:after="100" w:afterAutospacing="1"/>
      <w:jc w:val="left"/>
    </w:pPr>
    <w:rPr>
      <w:rFonts w:cs="Times New Roman"/>
      <w:kern w:val="0"/>
      <w:sz w:val="24"/>
    </w:rPr>
  </w:style>
  <w:style w:type="paragraph" w:styleId="aa">
    <w:name w:val="Title"/>
    <w:basedOn w:val="a"/>
    <w:next w:val="a"/>
    <w:link w:val="Char4"/>
    <w:uiPriority w:val="10"/>
    <w:qFormat/>
    <w:pPr>
      <w:spacing w:before="240" w:after="60"/>
      <w:ind w:right="-11"/>
      <w:jc w:val="center"/>
      <w:outlineLvl w:val="0"/>
    </w:pPr>
    <w:rPr>
      <w:rFonts w:asciiTheme="majorHAnsi" w:hAnsiTheme="majorHAnsi" w:cstheme="majorBidi"/>
      <w:b/>
      <w:bCs/>
      <w:sz w:val="44"/>
      <w:szCs w:val="32"/>
    </w:rPr>
  </w:style>
  <w:style w:type="paragraph" w:styleId="ab">
    <w:name w:val="annotation subject"/>
    <w:basedOn w:val="a4"/>
    <w:next w:val="a4"/>
    <w:link w:val="Char5"/>
    <w:qFormat/>
    <w:rPr>
      <w:b/>
      <w:bCs/>
    </w:r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unhideWhenUsed/>
    <w:qFormat/>
    <w:rPr>
      <w:color w:val="0000FF"/>
      <w:u w:val="single"/>
    </w:rPr>
  </w:style>
  <w:style w:type="character" w:styleId="ae">
    <w:name w:val="annotation reference"/>
    <w:basedOn w:val="a1"/>
    <w:qFormat/>
    <w:rPr>
      <w:sz w:val="21"/>
      <w:szCs w:val="21"/>
    </w:rPr>
  </w:style>
  <w:style w:type="character" w:customStyle="1" w:styleId="1Char">
    <w:name w:val="标题 1 Char"/>
    <w:basedOn w:val="a1"/>
    <w:link w:val="1"/>
    <w:uiPriority w:val="99"/>
    <w:qFormat/>
    <w:rPr>
      <w:rFonts w:ascii="Times New Roman" w:eastAsia="宋体" w:hAnsi="Times New Roman" w:cs="Times New Roman"/>
      <w:b/>
      <w:kern w:val="44"/>
      <w:sz w:val="36"/>
      <w:szCs w:val="36"/>
    </w:rPr>
  </w:style>
  <w:style w:type="character" w:customStyle="1" w:styleId="2Char">
    <w:name w:val="标题 2 Char"/>
    <w:basedOn w:val="a1"/>
    <w:link w:val="2"/>
    <w:uiPriority w:val="9"/>
    <w:qFormat/>
    <w:rPr>
      <w:rFonts w:ascii="Arial" w:eastAsia="宋体" w:hAnsi="Arial" w:cs="Times New Roman"/>
      <w:b/>
      <w:sz w:val="32"/>
      <w:szCs w:val="20"/>
    </w:rPr>
  </w:style>
  <w:style w:type="character" w:customStyle="1" w:styleId="3Char">
    <w:name w:val="标题 3 Char"/>
    <w:basedOn w:val="a1"/>
    <w:link w:val="3"/>
    <w:uiPriority w:val="9"/>
    <w:qFormat/>
    <w:rPr>
      <w:rFonts w:ascii="宋体"/>
      <w:b/>
      <w:sz w:val="24"/>
    </w:rPr>
  </w:style>
  <w:style w:type="character" w:customStyle="1" w:styleId="Char4">
    <w:name w:val="标题 Char"/>
    <w:basedOn w:val="a1"/>
    <w:link w:val="aa"/>
    <w:uiPriority w:val="10"/>
    <w:qFormat/>
    <w:rPr>
      <w:rFonts w:asciiTheme="majorHAnsi" w:hAnsiTheme="majorHAnsi" w:cstheme="majorBidi"/>
      <w:b/>
      <w:bCs/>
      <w:sz w:val="44"/>
      <w:szCs w:val="32"/>
    </w:rPr>
  </w:style>
  <w:style w:type="paragraph" w:styleId="af">
    <w:name w:val="No Spacing"/>
    <w:uiPriority w:val="1"/>
    <w:qFormat/>
    <w:pPr>
      <w:widowControl w:val="0"/>
      <w:jc w:val="both"/>
    </w:pPr>
    <w:rPr>
      <w:kern w:val="2"/>
      <w:sz w:val="21"/>
    </w:rPr>
  </w:style>
  <w:style w:type="character" w:customStyle="1" w:styleId="21">
    <w:name w:val="标题 2 字符"/>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0">
    <w:name w:val="标题 字符"/>
    <w:uiPriority w:val="10"/>
    <w:qFormat/>
    <w:rPr>
      <w:rFonts w:ascii="Cambria" w:hAnsi="Cambria" w:cs="Times New Roman"/>
      <w:b/>
      <w:bCs/>
      <w:kern w:val="2"/>
      <w:sz w:val="32"/>
      <w:szCs w:val="32"/>
    </w:rPr>
  </w:style>
  <w:style w:type="paragraph" w:styleId="af1">
    <w:name w:val="List Paragraph"/>
    <w:basedOn w:val="a"/>
    <w:qFormat/>
    <w:pPr>
      <w:ind w:firstLineChars="200" w:firstLine="420"/>
    </w:pPr>
    <w:rPr>
      <w:rFonts w:ascii="Calibri" w:eastAsia="宋体" w:hAnsi="Calibri" w:cs="Times New Roman"/>
    </w:rPr>
  </w:style>
  <w:style w:type="paragraph" w:customStyle="1" w:styleId="11">
    <w:name w:val="列出段落1"/>
    <w:basedOn w:val="a"/>
    <w:qFormat/>
    <w:pPr>
      <w:ind w:firstLineChars="200" w:firstLine="420"/>
    </w:pPr>
    <w:rPr>
      <w:rFonts w:ascii="Calibri" w:eastAsia="宋体" w:hAnsi="Calibri" w:cs="Times New Roman"/>
      <w:szCs w:val="21"/>
    </w:rPr>
  </w:style>
  <w:style w:type="character" w:customStyle="1" w:styleId="3Char0">
    <w:name w:val="正文文本 3 Char"/>
    <w:link w:val="30"/>
    <w:qFormat/>
    <w:rPr>
      <w:rFonts w:ascii="宋体" w:eastAsia="宋体"/>
      <w:sz w:val="24"/>
    </w:rPr>
  </w:style>
  <w:style w:type="character" w:customStyle="1" w:styleId="3Char1">
    <w:name w:val="正文文本 3 Char1"/>
    <w:basedOn w:val="a1"/>
    <w:uiPriority w:val="99"/>
    <w:semiHidden/>
    <w:qFormat/>
    <w:rPr>
      <w:sz w:val="16"/>
      <w:szCs w:val="16"/>
    </w:rPr>
  </w:style>
  <w:style w:type="paragraph" w:customStyle="1" w:styleId="2TimesNewRoman5020">
    <w:name w:val="样式 标题 2 + Times New Roman 四号 非加粗 段前: 5 磅 段后: 0 磅 行距: 固定值 20..."/>
    <w:basedOn w:val="2"/>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qFormat/>
    <w:rPr>
      <w:rFonts w:ascii="Times New Roman" w:eastAsia="宋体" w:hAnsi="Times New Roman" w:cs="Times New Roman"/>
      <w:szCs w:val="20"/>
    </w:rPr>
  </w:style>
  <w:style w:type="character" w:customStyle="1" w:styleId="Char2">
    <w:name w:val="页脚 Char"/>
    <w:basedOn w:val="a1"/>
    <w:link w:val="a7"/>
    <w:uiPriority w:val="99"/>
    <w:qFormat/>
    <w:rPr>
      <w:rFonts w:ascii="Times New Roman" w:eastAsia="宋体" w:hAnsi="Times New Roman" w:cs="Times New Roman"/>
      <w:kern w:val="0"/>
      <w:sz w:val="18"/>
      <w:szCs w:val="18"/>
    </w:rPr>
  </w:style>
  <w:style w:type="character" w:customStyle="1" w:styleId="Char3">
    <w:name w:val="页眉 Char"/>
    <w:basedOn w:val="a1"/>
    <w:link w:val="a8"/>
    <w:uiPriority w:val="99"/>
    <w:qFormat/>
    <w:rPr>
      <w:rFonts w:ascii="Times New Roman" w:eastAsia="宋体" w:hAnsi="Times New Roman" w:cs="Times New Roman"/>
      <w:sz w:val="18"/>
      <w:szCs w:val="18"/>
    </w:rPr>
  </w:style>
  <w:style w:type="character" w:customStyle="1" w:styleId="Char1">
    <w:name w:val="批注框文本 Char"/>
    <w:basedOn w:val="a1"/>
    <w:link w:val="a6"/>
    <w:uiPriority w:val="99"/>
    <w:qFormat/>
    <w:rPr>
      <w:rFonts w:ascii="Times New Roman" w:eastAsia="宋体" w:hAnsi="Times New Roman" w:cs="Times New Roman"/>
      <w:sz w:val="18"/>
      <w:szCs w:val="18"/>
    </w:rPr>
  </w:style>
  <w:style w:type="character" w:customStyle="1" w:styleId="Char">
    <w:name w:val="批注文字 Char"/>
    <w:basedOn w:val="a1"/>
    <w:link w:val="a4"/>
    <w:qFormat/>
    <w:rPr>
      <w:rFonts w:ascii="Times New Roman" w:eastAsia="宋体" w:hAnsi="Times New Roman" w:cs="Times New Roman"/>
      <w:szCs w:val="24"/>
    </w:rPr>
  </w:style>
  <w:style w:type="character" w:customStyle="1" w:styleId="Char5">
    <w:name w:val="批注主题 Char"/>
    <w:basedOn w:val="Char"/>
    <w:link w:val="ab"/>
    <w:qFormat/>
    <w:rPr>
      <w:rFonts w:ascii="Times New Roman" w:eastAsia="宋体" w:hAnsi="Times New Roman" w:cs="Times New Roman"/>
      <w:b/>
      <w:bCs/>
      <w:szCs w:val="24"/>
    </w:rPr>
  </w:style>
  <w:style w:type="paragraph" w:customStyle="1" w:styleId="12">
    <w:name w:val="修订1"/>
    <w:hidden/>
    <w:uiPriority w:val="99"/>
    <w:unhideWhenUsed/>
    <w:qFormat/>
    <w:rPr>
      <w:kern w:val="2"/>
      <w:sz w:val="21"/>
      <w:szCs w:val="24"/>
    </w:rPr>
  </w:style>
  <w:style w:type="paragraph" w:customStyle="1" w:styleId="110">
    <w:name w:val="修订11"/>
    <w:hidden/>
    <w:uiPriority w:val="99"/>
    <w:unhideWhenUsed/>
    <w:qFormat/>
    <w:rPr>
      <w:kern w:val="2"/>
      <w:sz w:val="21"/>
      <w:szCs w:val="24"/>
    </w:rPr>
  </w:style>
  <w:style w:type="character" w:customStyle="1" w:styleId="HTMLChar">
    <w:name w:val="HTML 预设格式 Char"/>
    <w:basedOn w:val="a1"/>
    <w:link w:val="HTML"/>
    <w:uiPriority w:val="99"/>
    <w:qFormat/>
    <w:rPr>
      <w:rFonts w:ascii="Arial" w:eastAsia="宋体" w:hAnsi="Arial" w:cs="Times New Roman"/>
      <w:szCs w:val="24"/>
    </w:rPr>
  </w:style>
  <w:style w:type="paragraph" w:customStyle="1" w:styleId="xl65">
    <w:name w:val="xl65"/>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qFormat/>
    <w:pPr>
      <w:widowControl/>
      <w:ind w:firstLine="420"/>
    </w:pPr>
    <w:rPr>
      <w:rFonts w:ascii="Calibri" w:eastAsia="宋体" w:hAnsi="Calibri" w:cs="宋体"/>
      <w:kern w:val="0"/>
      <w:szCs w:val="21"/>
    </w:rPr>
  </w:style>
  <w:style w:type="character" w:customStyle="1" w:styleId="font31">
    <w:name w:val="font31"/>
    <w:basedOn w:val="a1"/>
    <w:rPr>
      <w:rFonts w:ascii="宋体" w:eastAsia="宋体" w:hAnsi="宋体" w:cs="宋体" w:hint="eastAsia"/>
      <w:color w:val="FF0000"/>
      <w:sz w:val="20"/>
      <w:szCs w:val="20"/>
      <w:u w:val="none"/>
    </w:rPr>
  </w:style>
  <w:style w:type="character" w:customStyle="1" w:styleId="font01">
    <w:name w:val="font01"/>
    <w:basedOn w:val="a1"/>
    <w:qFormat/>
    <w:rPr>
      <w:rFonts w:ascii="宋体" w:eastAsia="宋体" w:hAnsi="宋体" w:cs="宋体" w:hint="eastAsia"/>
      <w:color w:val="000000"/>
      <w:sz w:val="20"/>
      <w:szCs w:val="20"/>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1" w:defQFormat="0" w:count="267">
    <w:lsdException w:name="Normal" w:uiPriority="0" w:unhideWhenUsed="0" w:qFormat="1"/>
    <w:lsdException w:name="heading 1" w:unhideWhenUsed="0" w:qFormat="1"/>
    <w:lsdException w:name="heading 2" w:uiPriority="9" w:unhideWhenUsed="0" w:qFormat="1"/>
    <w:lsdException w:name="heading 3" w:uiPriority="9" w:unhideWhenUsed="0"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uiPriority="39" w:unhideWhenUsed="0"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qFormat="1"/>
    <w:lsdException w:name="footnote text" w:semiHidden="1"/>
    <w:lsdException w:name="annotation text" w:uiPriority="0" w:unhideWhenUsed="0" w:qFormat="1"/>
    <w:lsdException w:name="header" w:unhideWhenUsed="0" w:qFormat="1"/>
    <w:lsdException w:name="footer" w:unhideWhenUsed="0" w:qFormat="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uiPriority="0" w:unhideWhenUsed="0" w:qFormat="1"/>
    <w:lsdException w:name="line number" w:semiHidden="1"/>
    <w:lsdException w:name="page number" w:semiHidden="1"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0"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unhideWhenUsed="0"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uiPriority="0" w:unhideWhenUsed="0" w:qFormat="1"/>
    <w:lsdException w:name="Body Text Indent 2" w:semiHidden="1"/>
    <w:lsdException w:name="Body Text Indent 3" w:semiHidden="1"/>
    <w:lsdException w:name="Block Text" w:semiHidden="1"/>
    <w:lsdException w:name="Hyperlink"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lsdException w:name="HTML Bottom of Form" w:semiHidden="1"/>
    <w:lsdException w:name="Normal (Web)" w:uiPriority="0"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unhideWhenUsed="0" w:qFormat="1"/>
    <w:lsdException w:name="HTML Sample" w:semiHidden="1"/>
    <w:lsdException w:name="HTML Typewriter" w:semiHidden="1"/>
    <w:lsdException w:name="HTML Variable" w:semiHidden="1"/>
    <w:lsdException w:name="Normal Table" w:semiHidden="1"/>
    <w:lsdException w:name="annotation subject" w:uiPriority="0" w:unhideWhenUsed="0" w:qFormat="1"/>
    <w:lsdException w:name="No List" w:semiHidden="1"/>
    <w:lsdException w:name="Outline List 1" w:semiHidden="1"/>
    <w:lsdException w:name="Outline List 2" w:semiHidden="1"/>
    <w:lsdException w:name="Outline List 3" w:semiHidden="1"/>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59" w:unhideWhenUsed="0" w:qFormat="1"/>
    <w:lsdException w:name="Table Theme" w:semiHidden="1"/>
    <w:lsdException w:name="Placeholder Text" w:semiHidden="1"/>
    <w:lsdException w:name="No Spacing" w:uiPriority="1" w:unhideWhenUsed="0" w:qFormat="1"/>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lsdException w:name="List Paragraph" w:uiPriority="0" w:unhideWhenUsed="0" w:qFormat="1"/>
    <w:lsdException w:name="Quote" w:semiHidden="1"/>
    <w:lsdException w:name="Intense Quote" w:semiHidden="1"/>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9"/>
    <w:qFormat/>
    <w:pPr>
      <w:keepNext/>
      <w:keepLines/>
      <w:snapToGrid w:val="0"/>
      <w:spacing w:before="60" w:after="60"/>
      <w:ind w:right="-11"/>
      <w:jc w:val="center"/>
      <w:outlineLvl w:val="0"/>
    </w:pPr>
    <w:rPr>
      <w:rFonts w:ascii="Times New Roman" w:eastAsia="宋体" w:hAnsi="Times New Roman" w:cs="Times New Roman"/>
      <w:b/>
      <w:kern w:val="44"/>
      <w:sz w:val="36"/>
      <w:szCs w:val="36"/>
    </w:rPr>
  </w:style>
  <w:style w:type="paragraph" w:styleId="2">
    <w:name w:val="heading 2"/>
    <w:basedOn w:val="a"/>
    <w:next w:val="a0"/>
    <w:link w:val="2Char"/>
    <w:uiPriority w:val="9"/>
    <w:qFormat/>
    <w:pPr>
      <w:keepNext/>
      <w:keepLines/>
      <w:adjustRightInd w:val="0"/>
      <w:snapToGrid w:val="0"/>
      <w:spacing w:before="240" w:after="240"/>
      <w:ind w:right="-11"/>
      <w:jc w:val="center"/>
      <w:outlineLvl w:val="1"/>
    </w:pPr>
    <w:rPr>
      <w:rFonts w:ascii="Arial" w:eastAsia="宋体" w:hAnsi="Arial" w:cs="Times New Roman"/>
      <w:b/>
      <w:sz w:val="32"/>
      <w:szCs w:val="20"/>
    </w:rPr>
  </w:style>
  <w:style w:type="paragraph" w:styleId="3">
    <w:name w:val="heading 3"/>
    <w:basedOn w:val="a"/>
    <w:next w:val="a0"/>
    <w:link w:val="3Char"/>
    <w:uiPriority w:val="9"/>
    <w:qFormat/>
    <w:pPr>
      <w:keepNext/>
      <w:keepLines/>
      <w:adjustRightInd w:val="0"/>
      <w:snapToGrid w:val="0"/>
      <w:spacing w:before="240" w:after="240"/>
      <w:ind w:right="-11" w:firstLineChars="200" w:firstLine="200"/>
      <w:outlineLvl w:val="2"/>
    </w:pPr>
    <w:rPr>
      <w:rFonts w:ascii="宋体"/>
      <w:b/>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qFormat/>
    <w:pPr>
      <w:ind w:right="-11" w:firstLineChars="200" w:firstLine="420"/>
    </w:pPr>
  </w:style>
  <w:style w:type="paragraph" w:styleId="7">
    <w:name w:val="toc 7"/>
    <w:basedOn w:val="a"/>
    <w:next w:val="a"/>
    <w:uiPriority w:val="39"/>
    <w:unhideWhenUsed/>
    <w:qFormat/>
    <w:pPr>
      <w:ind w:leftChars="1200" w:left="2520"/>
    </w:pPr>
  </w:style>
  <w:style w:type="paragraph" w:styleId="a4">
    <w:name w:val="annotation text"/>
    <w:basedOn w:val="a"/>
    <w:link w:val="Char"/>
    <w:qFormat/>
    <w:pPr>
      <w:jc w:val="left"/>
    </w:pPr>
    <w:rPr>
      <w:rFonts w:ascii="Times New Roman" w:eastAsia="宋体" w:hAnsi="Times New Roman" w:cs="Times New Roman"/>
      <w:szCs w:val="24"/>
    </w:rPr>
  </w:style>
  <w:style w:type="paragraph" w:styleId="30">
    <w:name w:val="Body Text 3"/>
    <w:basedOn w:val="a"/>
    <w:link w:val="3Char0"/>
    <w:qFormat/>
    <w:rPr>
      <w:rFonts w:ascii="宋体" w:eastAsia="宋体"/>
      <w:sz w:val="24"/>
    </w:rPr>
  </w:style>
  <w:style w:type="paragraph" w:styleId="a5">
    <w:name w:val="Body Text"/>
    <w:basedOn w:val="a"/>
    <w:link w:val="Char0"/>
    <w:qFormat/>
    <w:pPr>
      <w:spacing w:after="120" w:line="360" w:lineRule="auto"/>
    </w:pPr>
    <w:rPr>
      <w:rFonts w:ascii="Times New Roman" w:eastAsia="宋体" w:hAnsi="Times New Roman" w:cs="Times New Roman"/>
      <w:szCs w:val="20"/>
    </w:rPr>
  </w:style>
  <w:style w:type="paragraph" w:styleId="5">
    <w:name w:val="toc 5"/>
    <w:basedOn w:val="a"/>
    <w:next w:val="a"/>
    <w:uiPriority w:val="39"/>
    <w:unhideWhenUsed/>
    <w:qFormat/>
    <w:pPr>
      <w:ind w:leftChars="800" w:left="1680"/>
    </w:pPr>
  </w:style>
  <w:style w:type="paragraph" w:styleId="31">
    <w:name w:val="toc 3"/>
    <w:basedOn w:val="a"/>
    <w:next w:val="a"/>
    <w:uiPriority w:val="39"/>
    <w:unhideWhenUsed/>
    <w:qFormat/>
    <w:pPr>
      <w:ind w:leftChars="400" w:left="840" w:right="-11"/>
    </w:pPr>
  </w:style>
  <w:style w:type="paragraph" w:styleId="8">
    <w:name w:val="toc 8"/>
    <w:basedOn w:val="a"/>
    <w:next w:val="a"/>
    <w:uiPriority w:val="39"/>
    <w:unhideWhenUsed/>
    <w:qFormat/>
    <w:pPr>
      <w:ind w:leftChars="1400" w:left="2940"/>
    </w:pPr>
  </w:style>
  <w:style w:type="paragraph" w:styleId="a6">
    <w:name w:val="Balloon Text"/>
    <w:basedOn w:val="a"/>
    <w:link w:val="Char1"/>
    <w:uiPriority w:val="99"/>
    <w:qFormat/>
    <w:rPr>
      <w:rFonts w:ascii="Times New Roman" w:eastAsia="宋体" w:hAnsi="Times New Roman" w:cs="Times New Roman"/>
      <w:sz w:val="18"/>
      <w:szCs w:val="18"/>
    </w:rPr>
  </w:style>
  <w:style w:type="paragraph" w:styleId="a7">
    <w:name w:val="footer"/>
    <w:basedOn w:val="a"/>
    <w:link w:val="Char2"/>
    <w:uiPriority w:val="99"/>
    <w:qFormat/>
    <w:pPr>
      <w:widowControl/>
      <w:tabs>
        <w:tab w:val="center" w:pos="4153"/>
        <w:tab w:val="right" w:pos="8306"/>
      </w:tabs>
      <w:snapToGrid w:val="0"/>
      <w:jc w:val="left"/>
    </w:pPr>
    <w:rPr>
      <w:rFonts w:ascii="Times New Roman" w:eastAsia="宋体" w:hAnsi="Times New Roman" w:cs="Times New Roman"/>
      <w:kern w:val="0"/>
      <w:sz w:val="18"/>
      <w:szCs w:val="18"/>
    </w:rPr>
  </w:style>
  <w:style w:type="paragraph" w:styleId="a8">
    <w:name w:val="header"/>
    <w:basedOn w:val="a"/>
    <w:link w:val="Char3"/>
    <w:uiPriority w:val="99"/>
    <w:qFormat/>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paragraph" w:styleId="10">
    <w:name w:val="toc 1"/>
    <w:basedOn w:val="a"/>
    <w:next w:val="a"/>
    <w:uiPriority w:val="39"/>
    <w:qFormat/>
    <w:pPr>
      <w:tabs>
        <w:tab w:val="right" w:leader="dot" w:pos="9030"/>
      </w:tabs>
      <w:spacing w:line="560" w:lineRule="exact"/>
      <w:ind w:right="-11"/>
      <w:jc w:val="left"/>
    </w:pPr>
    <w:rPr>
      <w:rFonts w:ascii="宋体" w:eastAsia="宋体" w:hAnsi="宋体" w:cs="宋体"/>
      <w:b/>
      <w:bCs/>
      <w:sz w:val="30"/>
      <w:szCs w:val="30"/>
    </w:rPr>
  </w:style>
  <w:style w:type="paragraph" w:styleId="4">
    <w:name w:val="toc 4"/>
    <w:basedOn w:val="a"/>
    <w:next w:val="a"/>
    <w:uiPriority w:val="39"/>
    <w:unhideWhenUsed/>
    <w:qFormat/>
    <w:pPr>
      <w:ind w:leftChars="600" w:left="1260"/>
    </w:pPr>
  </w:style>
  <w:style w:type="paragraph" w:styleId="6">
    <w:name w:val="toc 6"/>
    <w:basedOn w:val="a"/>
    <w:next w:val="a"/>
    <w:uiPriority w:val="39"/>
    <w:unhideWhenUsed/>
    <w:qFormat/>
    <w:pPr>
      <w:ind w:leftChars="1000" w:left="2100"/>
    </w:pPr>
  </w:style>
  <w:style w:type="paragraph" w:styleId="20">
    <w:name w:val="toc 2"/>
    <w:basedOn w:val="a"/>
    <w:next w:val="a"/>
    <w:uiPriority w:val="39"/>
    <w:unhideWhenUsed/>
    <w:qFormat/>
    <w:pPr>
      <w:ind w:leftChars="200" w:left="420" w:right="-11"/>
    </w:pPr>
  </w:style>
  <w:style w:type="paragraph" w:styleId="9">
    <w:name w:val="toc 9"/>
    <w:basedOn w:val="a"/>
    <w:next w:val="a"/>
    <w:uiPriority w:val="39"/>
    <w:unhideWhenUsed/>
    <w:qFormat/>
    <w:pPr>
      <w:ind w:leftChars="1600" w:left="3360"/>
    </w:p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30" w:lineRule="atLeast"/>
    </w:pPr>
    <w:rPr>
      <w:rFonts w:ascii="Arial" w:eastAsia="宋体" w:hAnsi="Arial" w:cs="Times New Roman"/>
      <w:szCs w:val="24"/>
    </w:rPr>
  </w:style>
  <w:style w:type="paragraph" w:styleId="a9">
    <w:name w:val="Normal (Web)"/>
    <w:basedOn w:val="a"/>
    <w:qFormat/>
    <w:pPr>
      <w:spacing w:before="100" w:beforeAutospacing="1" w:after="100" w:afterAutospacing="1"/>
      <w:jc w:val="left"/>
    </w:pPr>
    <w:rPr>
      <w:rFonts w:cs="Times New Roman"/>
      <w:kern w:val="0"/>
      <w:sz w:val="24"/>
    </w:rPr>
  </w:style>
  <w:style w:type="paragraph" w:styleId="aa">
    <w:name w:val="Title"/>
    <w:basedOn w:val="a"/>
    <w:next w:val="a"/>
    <w:link w:val="Char4"/>
    <w:uiPriority w:val="10"/>
    <w:qFormat/>
    <w:pPr>
      <w:spacing w:before="240" w:after="60"/>
      <w:ind w:right="-11"/>
      <w:jc w:val="center"/>
      <w:outlineLvl w:val="0"/>
    </w:pPr>
    <w:rPr>
      <w:rFonts w:asciiTheme="majorHAnsi" w:hAnsiTheme="majorHAnsi" w:cstheme="majorBidi"/>
      <w:b/>
      <w:bCs/>
      <w:sz w:val="44"/>
      <w:szCs w:val="32"/>
    </w:rPr>
  </w:style>
  <w:style w:type="paragraph" w:styleId="ab">
    <w:name w:val="annotation subject"/>
    <w:basedOn w:val="a4"/>
    <w:next w:val="a4"/>
    <w:link w:val="Char5"/>
    <w:qFormat/>
    <w:rPr>
      <w:b/>
      <w:bCs/>
    </w:rPr>
  </w:style>
  <w:style w:type="table" w:styleId="ac">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uiPriority w:val="99"/>
    <w:unhideWhenUsed/>
    <w:qFormat/>
    <w:rPr>
      <w:color w:val="0000FF"/>
      <w:u w:val="single"/>
    </w:rPr>
  </w:style>
  <w:style w:type="character" w:styleId="ae">
    <w:name w:val="annotation reference"/>
    <w:basedOn w:val="a1"/>
    <w:qFormat/>
    <w:rPr>
      <w:sz w:val="21"/>
      <w:szCs w:val="21"/>
    </w:rPr>
  </w:style>
  <w:style w:type="character" w:customStyle="1" w:styleId="1Char">
    <w:name w:val="标题 1 Char"/>
    <w:basedOn w:val="a1"/>
    <w:link w:val="1"/>
    <w:uiPriority w:val="99"/>
    <w:qFormat/>
    <w:rPr>
      <w:rFonts w:ascii="Times New Roman" w:eastAsia="宋体" w:hAnsi="Times New Roman" w:cs="Times New Roman"/>
      <w:b/>
      <w:kern w:val="44"/>
      <w:sz w:val="36"/>
      <w:szCs w:val="36"/>
    </w:rPr>
  </w:style>
  <w:style w:type="character" w:customStyle="1" w:styleId="2Char">
    <w:name w:val="标题 2 Char"/>
    <w:basedOn w:val="a1"/>
    <w:link w:val="2"/>
    <w:uiPriority w:val="9"/>
    <w:qFormat/>
    <w:rPr>
      <w:rFonts w:ascii="Arial" w:eastAsia="宋体" w:hAnsi="Arial" w:cs="Times New Roman"/>
      <w:b/>
      <w:sz w:val="32"/>
      <w:szCs w:val="20"/>
    </w:rPr>
  </w:style>
  <w:style w:type="character" w:customStyle="1" w:styleId="3Char">
    <w:name w:val="标题 3 Char"/>
    <w:basedOn w:val="a1"/>
    <w:link w:val="3"/>
    <w:uiPriority w:val="9"/>
    <w:qFormat/>
    <w:rPr>
      <w:rFonts w:ascii="宋体"/>
      <w:b/>
      <w:sz w:val="24"/>
    </w:rPr>
  </w:style>
  <w:style w:type="character" w:customStyle="1" w:styleId="Char4">
    <w:name w:val="标题 Char"/>
    <w:basedOn w:val="a1"/>
    <w:link w:val="aa"/>
    <w:uiPriority w:val="10"/>
    <w:qFormat/>
    <w:rPr>
      <w:rFonts w:asciiTheme="majorHAnsi" w:hAnsiTheme="majorHAnsi" w:cstheme="majorBidi"/>
      <w:b/>
      <w:bCs/>
      <w:sz w:val="44"/>
      <w:szCs w:val="32"/>
    </w:rPr>
  </w:style>
  <w:style w:type="paragraph" w:styleId="af">
    <w:name w:val="No Spacing"/>
    <w:uiPriority w:val="1"/>
    <w:qFormat/>
    <w:pPr>
      <w:widowControl w:val="0"/>
      <w:jc w:val="both"/>
    </w:pPr>
    <w:rPr>
      <w:kern w:val="2"/>
      <w:sz w:val="21"/>
    </w:rPr>
  </w:style>
  <w:style w:type="character" w:customStyle="1" w:styleId="21">
    <w:name w:val="标题 2 字符"/>
    <w:uiPriority w:val="9"/>
    <w:qFormat/>
    <w:rPr>
      <w:rFonts w:ascii="新宋体" w:eastAsia="新宋体" w:hAnsi="新宋体"/>
      <w:b/>
      <w:bCs/>
      <w:kern w:val="2"/>
      <w:sz w:val="32"/>
      <w:szCs w:val="32"/>
      <w:lang w:val="zh-CN"/>
    </w:rPr>
  </w:style>
  <w:style w:type="paragraph" w:customStyle="1" w:styleId="378020">
    <w:name w:val="样式 标题 3 + (中文) 黑体 小四 非加粗 段前: 7.8 磅 段后: 0 磅 行距: 固定值 20 磅"/>
    <w:basedOn w:val="3"/>
    <w:qFormat/>
    <w:pPr>
      <w:adjustRightInd/>
      <w:snapToGrid/>
      <w:spacing w:before="0" w:after="0" w:line="400" w:lineRule="exact"/>
      <w:ind w:right="0" w:firstLineChars="0" w:firstLine="0"/>
    </w:pPr>
    <w:rPr>
      <w:rFonts w:ascii="Times New Roman" w:eastAsia="黑体" w:hAnsi="Times New Roman" w:cs="Times New Roman"/>
      <w:b w:val="0"/>
      <w:szCs w:val="20"/>
    </w:rPr>
  </w:style>
  <w:style w:type="character" w:customStyle="1" w:styleId="af0">
    <w:name w:val="标题 字符"/>
    <w:uiPriority w:val="10"/>
    <w:qFormat/>
    <w:rPr>
      <w:rFonts w:ascii="Cambria" w:hAnsi="Cambria" w:cs="Times New Roman"/>
      <w:b/>
      <w:bCs/>
      <w:kern w:val="2"/>
      <w:sz w:val="32"/>
      <w:szCs w:val="32"/>
    </w:rPr>
  </w:style>
  <w:style w:type="paragraph" w:styleId="af1">
    <w:name w:val="List Paragraph"/>
    <w:basedOn w:val="a"/>
    <w:qFormat/>
    <w:pPr>
      <w:ind w:firstLineChars="200" w:firstLine="420"/>
    </w:pPr>
    <w:rPr>
      <w:rFonts w:ascii="Calibri" w:eastAsia="宋体" w:hAnsi="Calibri" w:cs="Times New Roman"/>
    </w:rPr>
  </w:style>
  <w:style w:type="paragraph" w:customStyle="1" w:styleId="11">
    <w:name w:val="列出段落1"/>
    <w:basedOn w:val="a"/>
    <w:qFormat/>
    <w:pPr>
      <w:ind w:firstLineChars="200" w:firstLine="420"/>
    </w:pPr>
    <w:rPr>
      <w:rFonts w:ascii="Calibri" w:eastAsia="宋体" w:hAnsi="Calibri" w:cs="Times New Roman"/>
      <w:szCs w:val="21"/>
    </w:rPr>
  </w:style>
  <w:style w:type="character" w:customStyle="1" w:styleId="3Char0">
    <w:name w:val="正文文本 3 Char"/>
    <w:link w:val="30"/>
    <w:qFormat/>
    <w:rPr>
      <w:rFonts w:ascii="宋体" w:eastAsia="宋体"/>
      <w:sz w:val="24"/>
    </w:rPr>
  </w:style>
  <w:style w:type="character" w:customStyle="1" w:styleId="3Char1">
    <w:name w:val="正文文本 3 Char1"/>
    <w:basedOn w:val="a1"/>
    <w:uiPriority w:val="99"/>
    <w:semiHidden/>
    <w:qFormat/>
    <w:rPr>
      <w:sz w:val="16"/>
      <w:szCs w:val="16"/>
    </w:rPr>
  </w:style>
  <w:style w:type="paragraph" w:customStyle="1" w:styleId="2TimesNewRoman5020">
    <w:name w:val="样式 标题 2 + Times New Roman 四号 非加粗 段前: 5 磅 段后: 0 磅 行距: 固定值 20..."/>
    <w:basedOn w:val="2"/>
    <w:qFormat/>
    <w:pPr>
      <w:adjustRightInd/>
      <w:snapToGrid/>
      <w:spacing w:before="100" w:after="0" w:line="400" w:lineRule="exact"/>
      <w:ind w:right="0"/>
      <w:jc w:val="both"/>
    </w:pPr>
    <w:rPr>
      <w:rFonts w:ascii="Times New Roman" w:eastAsia="黑体" w:hAnsi="Times New Roman"/>
      <w:b w:val="0"/>
      <w:sz w:val="28"/>
    </w:rPr>
  </w:style>
  <w:style w:type="paragraph" w:customStyle="1" w:styleId="200">
    <w:name w:val="正文 + 行距: 固定值 20 磅"/>
    <w:basedOn w:val="a"/>
    <w:qFormat/>
    <w:pPr>
      <w:spacing w:line="400" w:lineRule="exact"/>
      <w:ind w:firstLineChars="341" w:firstLine="716"/>
    </w:pPr>
    <w:rPr>
      <w:rFonts w:ascii="Times New Roman" w:eastAsia="宋体" w:hAnsi="Times New Roman" w:cs="Times New Roman"/>
      <w:szCs w:val="20"/>
    </w:rPr>
  </w:style>
  <w:style w:type="character" w:customStyle="1" w:styleId="Char0">
    <w:name w:val="正文文本 Char"/>
    <w:basedOn w:val="a1"/>
    <w:link w:val="a5"/>
    <w:qFormat/>
    <w:rPr>
      <w:rFonts w:ascii="Times New Roman" w:eastAsia="宋体" w:hAnsi="Times New Roman" w:cs="Times New Roman"/>
      <w:szCs w:val="20"/>
    </w:rPr>
  </w:style>
  <w:style w:type="character" w:customStyle="1" w:styleId="Char2">
    <w:name w:val="页脚 Char"/>
    <w:basedOn w:val="a1"/>
    <w:link w:val="a7"/>
    <w:uiPriority w:val="99"/>
    <w:qFormat/>
    <w:rPr>
      <w:rFonts w:ascii="Times New Roman" w:eastAsia="宋体" w:hAnsi="Times New Roman" w:cs="Times New Roman"/>
      <w:kern w:val="0"/>
      <w:sz w:val="18"/>
      <w:szCs w:val="18"/>
    </w:rPr>
  </w:style>
  <w:style w:type="character" w:customStyle="1" w:styleId="Char3">
    <w:name w:val="页眉 Char"/>
    <w:basedOn w:val="a1"/>
    <w:link w:val="a8"/>
    <w:uiPriority w:val="99"/>
    <w:qFormat/>
    <w:rPr>
      <w:rFonts w:ascii="Times New Roman" w:eastAsia="宋体" w:hAnsi="Times New Roman" w:cs="Times New Roman"/>
      <w:sz w:val="18"/>
      <w:szCs w:val="18"/>
    </w:rPr>
  </w:style>
  <w:style w:type="character" w:customStyle="1" w:styleId="Char1">
    <w:name w:val="批注框文本 Char"/>
    <w:basedOn w:val="a1"/>
    <w:link w:val="a6"/>
    <w:uiPriority w:val="99"/>
    <w:qFormat/>
    <w:rPr>
      <w:rFonts w:ascii="Times New Roman" w:eastAsia="宋体" w:hAnsi="Times New Roman" w:cs="Times New Roman"/>
      <w:sz w:val="18"/>
      <w:szCs w:val="18"/>
    </w:rPr>
  </w:style>
  <w:style w:type="character" w:customStyle="1" w:styleId="Char">
    <w:name w:val="批注文字 Char"/>
    <w:basedOn w:val="a1"/>
    <w:link w:val="a4"/>
    <w:qFormat/>
    <w:rPr>
      <w:rFonts w:ascii="Times New Roman" w:eastAsia="宋体" w:hAnsi="Times New Roman" w:cs="Times New Roman"/>
      <w:szCs w:val="24"/>
    </w:rPr>
  </w:style>
  <w:style w:type="character" w:customStyle="1" w:styleId="Char5">
    <w:name w:val="批注主题 Char"/>
    <w:basedOn w:val="Char"/>
    <w:link w:val="ab"/>
    <w:qFormat/>
    <w:rPr>
      <w:rFonts w:ascii="Times New Roman" w:eastAsia="宋体" w:hAnsi="Times New Roman" w:cs="Times New Roman"/>
      <w:b/>
      <w:bCs/>
      <w:szCs w:val="24"/>
    </w:rPr>
  </w:style>
  <w:style w:type="paragraph" w:customStyle="1" w:styleId="12">
    <w:name w:val="修订1"/>
    <w:hidden/>
    <w:uiPriority w:val="99"/>
    <w:unhideWhenUsed/>
    <w:qFormat/>
    <w:rPr>
      <w:kern w:val="2"/>
      <w:sz w:val="21"/>
      <w:szCs w:val="24"/>
    </w:rPr>
  </w:style>
  <w:style w:type="paragraph" w:customStyle="1" w:styleId="110">
    <w:name w:val="修订11"/>
    <w:hidden/>
    <w:uiPriority w:val="99"/>
    <w:unhideWhenUsed/>
    <w:qFormat/>
    <w:rPr>
      <w:kern w:val="2"/>
      <w:sz w:val="21"/>
      <w:szCs w:val="24"/>
    </w:rPr>
  </w:style>
  <w:style w:type="character" w:customStyle="1" w:styleId="HTMLChar">
    <w:name w:val="HTML 预设格式 Char"/>
    <w:basedOn w:val="a1"/>
    <w:link w:val="HTML"/>
    <w:uiPriority w:val="99"/>
    <w:qFormat/>
    <w:rPr>
      <w:rFonts w:ascii="Arial" w:eastAsia="宋体" w:hAnsi="Arial" w:cs="Times New Roman"/>
      <w:szCs w:val="24"/>
    </w:rPr>
  </w:style>
  <w:style w:type="paragraph" w:customStyle="1" w:styleId="xl65">
    <w:name w:val="xl65"/>
    <w:basedOn w:val="a"/>
    <w:qFormat/>
    <w:pPr>
      <w:widowControl/>
      <w:spacing w:before="100" w:beforeAutospacing="1" w:after="100" w:afterAutospacing="1"/>
      <w:jc w:val="left"/>
    </w:pPr>
    <w:rPr>
      <w:rFonts w:ascii="宋体" w:eastAsia="宋体" w:hAnsi="宋体" w:cs="宋体"/>
      <w:kern w:val="0"/>
      <w:sz w:val="20"/>
      <w:szCs w:val="20"/>
    </w:rPr>
  </w:style>
  <w:style w:type="paragraph" w:customStyle="1" w:styleId="msonormal0">
    <w:name w:val="msonormal"/>
    <w:basedOn w:val="a"/>
    <w:qFormat/>
    <w:pPr>
      <w:widowControl/>
      <w:spacing w:before="100" w:beforeAutospacing="1" w:after="100" w:afterAutospacing="1"/>
      <w:jc w:val="left"/>
    </w:pPr>
    <w:rPr>
      <w:rFonts w:ascii="宋体" w:eastAsia="宋体" w:hAnsi="宋体" w:cs="宋体"/>
      <w:kern w:val="0"/>
      <w:sz w:val="24"/>
      <w:szCs w:val="24"/>
    </w:rPr>
  </w:style>
  <w:style w:type="paragraph" w:customStyle="1" w:styleId="xl67">
    <w:name w:val="xl67"/>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8">
    <w:name w:val="xl68"/>
    <w:basedOn w:val="a"/>
    <w:qFormat/>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宋体" w:eastAsia="宋体" w:hAnsi="宋体" w:cs="宋体"/>
      <w:kern w:val="0"/>
      <w:sz w:val="20"/>
      <w:szCs w:val="20"/>
    </w:rPr>
  </w:style>
  <w:style w:type="paragraph" w:customStyle="1" w:styleId="xl71">
    <w:name w:val="xl71"/>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9">
    <w:name w:val="xl69"/>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b/>
      <w:bCs/>
      <w:kern w:val="0"/>
      <w:sz w:val="20"/>
      <w:szCs w:val="20"/>
    </w:rPr>
  </w:style>
  <w:style w:type="paragraph" w:customStyle="1" w:styleId="font5">
    <w:name w:val="font5"/>
    <w:basedOn w:val="a"/>
    <w:qFormat/>
    <w:pPr>
      <w:widowControl/>
      <w:spacing w:before="100" w:beforeAutospacing="1" w:after="100" w:afterAutospacing="1"/>
      <w:jc w:val="left"/>
    </w:pPr>
    <w:rPr>
      <w:rFonts w:ascii="宋体" w:eastAsia="宋体" w:hAnsi="宋体" w:cs="宋体"/>
      <w:kern w:val="0"/>
      <w:sz w:val="18"/>
      <w:szCs w:val="18"/>
    </w:rPr>
  </w:style>
  <w:style w:type="paragraph" w:customStyle="1" w:styleId="xl70">
    <w:name w:val="xl70"/>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xl66">
    <w:name w:val="xl66"/>
    <w:basedOn w:val="a"/>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kern w:val="0"/>
      <w:sz w:val="20"/>
      <w:szCs w:val="20"/>
    </w:rPr>
  </w:style>
  <w:style w:type="paragraph" w:customStyle="1" w:styleId="p15">
    <w:name w:val="p15"/>
    <w:basedOn w:val="a"/>
    <w:qFormat/>
    <w:pPr>
      <w:widowControl/>
      <w:ind w:firstLine="420"/>
    </w:pPr>
    <w:rPr>
      <w:rFonts w:ascii="Calibri" w:eastAsia="宋体" w:hAnsi="Calibri" w:cs="宋体"/>
      <w:kern w:val="0"/>
      <w:szCs w:val="21"/>
    </w:rPr>
  </w:style>
  <w:style w:type="character" w:customStyle="1" w:styleId="font31">
    <w:name w:val="font31"/>
    <w:basedOn w:val="a1"/>
    <w:rPr>
      <w:rFonts w:ascii="宋体" w:eastAsia="宋体" w:hAnsi="宋体" w:cs="宋体" w:hint="eastAsia"/>
      <w:color w:val="FF0000"/>
      <w:sz w:val="20"/>
      <w:szCs w:val="20"/>
      <w:u w:val="none"/>
    </w:rPr>
  </w:style>
  <w:style w:type="character" w:customStyle="1" w:styleId="font01">
    <w:name w:val="font01"/>
    <w:basedOn w:val="a1"/>
    <w:qFormat/>
    <w:rPr>
      <w:rFonts w:ascii="宋体" w:eastAsia="宋体" w:hAnsi="宋体" w:cs="宋体" w:hint="eastAsia"/>
      <w:color w:val="000000"/>
      <w:sz w:val="20"/>
      <w:szCs w:val="20"/>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349</Words>
  <Characters>1993</Characters>
  <Application>Microsoft Office Word</Application>
  <DocSecurity>0</DocSecurity>
  <Lines>16</Lines>
  <Paragraphs>4</Paragraphs>
  <ScaleCrop>false</ScaleCrop>
  <Company/>
  <LinksUpToDate>false</LinksUpToDate>
  <CharactersWithSpaces>2338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lujinzhi</dc:creator>
  <cp:lastModifiedBy>lujinzhi</cp:lastModifiedBy>
  <cp:revision>42</cp:revision>
  <dcterms:created xsi:type="dcterms:W3CDTF">2021-05-18T01:21:00Z</dcterms:created>
  <dcterms:modified xsi:type="dcterms:W3CDTF">2022-06-15T00:54:00Z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FE1C81D6C44F4BB7A33A73D09F36969E</vt:lpwstr>
  </property>
</Properties>
</file>