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7CC76">
      <w:pPr>
        <w:jc w:val="center"/>
        <w:rPr>
          <w:b/>
          <w:sz w:val="32"/>
          <w:szCs w:val="32"/>
        </w:rPr>
      </w:pPr>
      <w:r>
        <w:rPr>
          <w:rFonts w:hint="eastAsia"/>
          <w:b/>
          <w:sz w:val="32"/>
          <w:szCs w:val="32"/>
        </w:rPr>
        <w:t>招标工程量清单编制说明</w:t>
      </w:r>
    </w:p>
    <w:p w14:paraId="3D1E9525">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14:paraId="656AF500">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rPr>
        <w:t>本工程位于</w:t>
      </w:r>
      <w:r>
        <w:rPr>
          <w:rFonts w:hint="eastAsia" w:asciiTheme="minorEastAsia" w:hAnsiTheme="minorEastAsia"/>
          <w:color w:val="auto"/>
          <w:sz w:val="22"/>
          <w:lang w:val="en-US" w:eastAsia="zh-CN"/>
        </w:rPr>
        <w:t>南京大学仙林校区</w:t>
      </w:r>
      <w:r>
        <w:rPr>
          <w:rFonts w:hint="eastAsia" w:asciiTheme="minorEastAsia" w:hAnsiTheme="minorEastAsia"/>
          <w:color w:val="auto"/>
          <w:sz w:val="22"/>
        </w:rPr>
        <w:t>，</w:t>
      </w:r>
      <w:r>
        <w:rPr>
          <w:rFonts w:hint="eastAsia" w:asciiTheme="minorEastAsia" w:hAnsiTheme="minorEastAsia"/>
          <w:color w:val="auto"/>
          <w:sz w:val="22"/>
          <w:lang w:val="en-US" w:eastAsia="zh-CN"/>
        </w:rPr>
        <w:t>为南京大学仙林校区网球场围挡改造</w:t>
      </w:r>
      <w:bookmarkStart w:id="0" w:name="_GoBack"/>
      <w:bookmarkEnd w:id="0"/>
      <w:r>
        <w:rPr>
          <w:rFonts w:hint="eastAsia" w:asciiTheme="minorEastAsia" w:hAnsiTheme="minorEastAsia"/>
          <w:color w:val="auto"/>
          <w:sz w:val="22"/>
          <w:lang w:val="en-US" w:eastAsia="zh-CN"/>
        </w:rPr>
        <w:t>。主要为网球场侧面增加PVDF膜围挡。围挡面积面积约为1280m2，具体详见招标文件及工程量清单。</w:t>
      </w:r>
    </w:p>
    <w:p w14:paraId="7A6D86B9">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14:paraId="4BCB7EE0">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本次改造内容主要为网球场侧面增加PVDF膜围挡等。</w:t>
      </w:r>
    </w:p>
    <w:p w14:paraId="327A222C">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14:paraId="7AB7089C">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1</w:t>
      </w:r>
      <w:r>
        <w:rPr>
          <w:rFonts w:hint="eastAsia" w:asciiTheme="minorEastAsia" w:hAnsiTheme="minorEastAsia"/>
          <w:sz w:val="22"/>
        </w:rPr>
        <w:t>、计量规范：</w:t>
      </w:r>
    </w:p>
    <w:p w14:paraId="3829C66D">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①《建设工程工程量清单计价规范》（GB50500-2013）</w:t>
      </w:r>
    </w:p>
    <w:p w14:paraId="19F3A01B">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②《房屋建筑与装饰工程工程量计算规范》（GB50854-2013）</w:t>
      </w:r>
    </w:p>
    <w:p w14:paraId="3CFC39A8">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③《通用安装工程工程量计算规范》（GB50856-2013）</w:t>
      </w:r>
    </w:p>
    <w:p w14:paraId="44B97432">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④《市政工程工程量计算规范》（GB50857-2013）</w:t>
      </w:r>
    </w:p>
    <w:p w14:paraId="673CEEBD">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⑤《园林绿化工程工程量计算规范》（</w:t>
      </w:r>
      <w:r>
        <w:rPr>
          <w:rFonts w:hint="eastAsia" w:asciiTheme="minorEastAsia" w:hAnsiTheme="minorEastAsia"/>
          <w:color w:val="auto"/>
          <w:sz w:val="22"/>
        </w:rPr>
        <w:tab/>
      </w:r>
      <w:r>
        <w:rPr>
          <w:rFonts w:hint="eastAsia" w:asciiTheme="minorEastAsia" w:hAnsiTheme="minorEastAsia"/>
          <w:color w:val="auto"/>
          <w:sz w:val="22"/>
        </w:rPr>
        <w:t>GB50858-2013）</w:t>
      </w:r>
    </w:p>
    <w:p w14:paraId="6AE5CB78">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⑥现行相关补充或调整文件</w:t>
      </w:r>
    </w:p>
    <w:p w14:paraId="1251ECD4">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2</w:t>
      </w:r>
      <w:r>
        <w:rPr>
          <w:rFonts w:hint="eastAsia" w:asciiTheme="minorEastAsia" w:hAnsiTheme="minorEastAsia"/>
          <w:sz w:val="22"/>
        </w:rPr>
        <w:t>、与本工程项目有关的标准、施工规范与验收规范。</w:t>
      </w:r>
    </w:p>
    <w:p w14:paraId="43EF49B5">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14:paraId="1C5BB7EB">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1、《省住房城乡建设厅关于建筑业实施营改增后江苏省建设工程计价依据调整的通知》 苏建价（2016）154号文及相关附件。</w:t>
      </w:r>
    </w:p>
    <w:p w14:paraId="562DE236">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2、《省住房城乡建设厅关于建筑业增值税计价政策调整的通知》苏建函价（2019）178号文。</w:t>
      </w:r>
    </w:p>
    <w:p w14:paraId="50BE2CD3">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3、安全文明施工措施费计取基本费和扬尘污染防治增加费。</w:t>
      </w:r>
    </w:p>
    <w:p w14:paraId="4D3AC38F">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4、《省住房城乡建设厅关于建筑工人实名制费用计取方法的公告》〔2019〕第19号</w:t>
      </w:r>
    </w:p>
    <w:p w14:paraId="3DA70297">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5、依据《建设工程计价设备材料划分标准》（GB/T50531-2009）划分的设备以设备形式计入且不计取总价措施费及规费。</w:t>
      </w:r>
    </w:p>
    <w:p w14:paraId="782914DB">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6、政策性文件及报价参考执行投标截止日前省市建委造价有关文件，投标截止日后的省市建委造价文件不予执行。</w:t>
      </w:r>
    </w:p>
    <w:p w14:paraId="0866DB50">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7、人工工资参考江苏省建设工程人工工资指导价自主报价，其它费用按照省市建委发布的有关文件及政策规定等执行，报价参考执行投标截止日前省建设厅、市建委造价有关文件。</w:t>
      </w:r>
    </w:p>
    <w:p w14:paraId="33FBE56B">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8、暂列金额及暂估价：</w:t>
      </w:r>
    </w:p>
    <w:p w14:paraId="5DA7A6AB">
      <w:pPr>
        <w:spacing w:line="360" w:lineRule="auto"/>
        <w:ind w:firstLine="440" w:firstLineChars="200"/>
        <w:rPr>
          <w:rFonts w:asciiTheme="minorEastAsia" w:hAnsiTheme="minorEastAsia"/>
          <w:b/>
          <w:color w:val="auto"/>
          <w:sz w:val="22"/>
        </w:rPr>
      </w:pPr>
      <w:r>
        <w:rPr>
          <w:rFonts w:hint="eastAsia" w:asciiTheme="minorEastAsia" w:hAnsiTheme="minorEastAsia"/>
          <w:color w:val="auto"/>
          <w:sz w:val="22"/>
        </w:rPr>
        <w:t>（1）暂列金额：有。</w:t>
      </w:r>
    </w:p>
    <w:p w14:paraId="799FC35F">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（2）暂估价：无。</w:t>
      </w:r>
    </w:p>
    <w:p w14:paraId="69870920">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14:paraId="0B17F8A7">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1、通用部分</w:t>
      </w:r>
    </w:p>
    <w:p w14:paraId="49EE4FC0">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65D6E760">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2、土建部分</w:t>
      </w:r>
    </w:p>
    <w:p w14:paraId="65BFDBBE">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w:t>
      </w:r>
      <w:r>
        <w:rPr>
          <w:rFonts w:hint="eastAsia" w:asciiTheme="minorEastAsia" w:hAnsiTheme="minorEastAsia"/>
          <w:color w:val="auto"/>
          <w:sz w:val="22"/>
          <w:lang w:val="en-US" w:eastAsia="zh-CN"/>
        </w:rPr>
        <w:t>1</w:t>
      </w:r>
      <w:r>
        <w:rPr>
          <w:rFonts w:hint="eastAsia" w:asciiTheme="minorEastAsia" w:hAnsiTheme="minorEastAsia"/>
          <w:color w:val="auto"/>
          <w:sz w:val="22"/>
        </w:rPr>
        <w:t>）PVDF膜材，膜材经向抗拉强度不小于7500N/5CM ，纬向抗拉强度不小于7000N/5CM，经向与纬向撕裂强度不小于400N。膜透光率&gt;20%。耐火等级不低于B1级。</w:t>
      </w:r>
    </w:p>
    <w:p w14:paraId="04793A66">
      <w:pPr>
        <w:spacing w:line="360" w:lineRule="auto"/>
        <w:ind w:firstLine="440" w:firstLineChars="200"/>
        <w:rPr>
          <w:rFonts w:hint="eastAsia" w:asciiTheme="minorEastAsia" w:hAnsiTheme="minorEastAsia"/>
          <w:color w:val="auto"/>
          <w:sz w:val="22"/>
          <w:lang w:eastAsia="zh-CN"/>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2</w:t>
      </w: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围挡增加的钢结构油漆按</w:t>
      </w:r>
      <w:r>
        <w:rPr>
          <w:rFonts w:hint="eastAsia" w:asciiTheme="minorEastAsia" w:hAnsiTheme="minorEastAsia"/>
          <w:color w:val="auto"/>
          <w:sz w:val="22"/>
          <w:lang w:eastAsia="zh-CN"/>
        </w:rPr>
        <w:t>底涂为环氧富锌防锈漆二度,漆膜干膜总厚度不小于60μm;中涂为环氧云铁中漆一度,漆膜干膜总厚度不小于70μm;面涂为氯化橡胶漆二度,漆膜干膜总厚度不小于50μm,面涂颜色由发包单位另行指定;对在施工中损伤部位应按上述要求修补。</w:t>
      </w:r>
    </w:p>
    <w:p w14:paraId="043C8A59">
      <w:p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rPr>
        <w:t>（</w:t>
      </w:r>
      <w:r>
        <w:rPr>
          <w:rFonts w:hint="eastAsia" w:asciiTheme="minorEastAsia" w:hAnsiTheme="minorEastAsia"/>
          <w:color w:val="auto"/>
          <w:sz w:val="22"/>
          <w:lang w:val="en-US" w:eastAsia="zh-CN"/>
        </w:rPr>
        <w:t>3</w:t>
      </w:r>
      <w:r>
        <w:rPr>
          <w:rFonts w:hint="eastAsia" w:asciiTheme="minorEastAsia" w:hAnsiTheme="minorEastAsia"/>
          <w:color w:val="auto"/>
          <w:sz w:val="22"/>
        </w:rPr>
        <w:t>）</w:t>
      </w:r>
      <w:r>
        <w:rPr>
          <w:rFonts w:hint="eastAsia" w:asciiTheme="minorEastAsia" w:hAnsiTheme="minorEastAsia"/>
          <w:color w:val="auto"/>
          <w:sz w:val="22"/>
          <w:lang w:val="en-US" w:eastAsia="zh-CN"/>
        </w:rPr>
        <w:t>清单中</w:t>
      </w:r>
      <w:r>
        <w:rPr>
          <w:rFonts w:hint="eastAsia" w:asciiTheme="minorEastAsia" w:hAnsiTheme="minorEastAsia"/>
          <w:color w:val="auto"/>
          <w:sz w:val="22"/>
        </w:rPr>
        <w:t>遮阳密网</w:t>
      </w:r>
      <w:r>
        <w:rPr>
          <w:rFonts w:hint="eastAsia" w:asciiTheme="minorEastAsia" w:hAnsiTheme="minorEastAsia"/>
          <w:color w:val="auto"/>
          <w:sz w:val="22"/>
          <w:lang w:val="en-US" w:eastAsia="zh-CN"/>
        </w:rPr>
        <w:t>综合单价已考虑双层密网，投标人综合考虑报价，工程量计算按围护面积计算。</w:t>
      </w:r>
    </w:p>
    <w:p w14:paraId="686A867D">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rPr>
        <w:t>（</w:t>
      </w:r>
      <w:r>
        <w:rPr>
          <w:rFonts w:hint="eastAsia" w:asciiTheme="minorEastAsia" w:hAnsiTheme="minorEastAsia"/>
          <w:color w:val="auto"/>
          <w:sz w:val="22"/>
          <w:lang w:val="en-US" w:eastAsia="zh-CN"/>
        </w:rPr>
        <w:t>4</w:t>
      </w:r>
      <w:r>
        <w:rPr>
          <w:rFonts w:hint="eastAsia" w:asciiTheme="minorEastAsia" w:hAnsiTheme="minorEastAsia"/>
          <w:color w:val="auto"/>
          <w:sz w:val="22"/>
        </w:rPr>
        <w:t>）本项目施工不得损坏相邻建筑部位，如有损坏，投标人负责原样修复。投标人需综合考虑报价，计入本次清单</w:t>
      </w:r>
      <w:r>
        <w:rPr>
          <w:rFonts w:hint="eastAsia" w:asciiTheme="minorEastAsia" w:hAnsiTheme="minorEastAsia"/>
          <w:color w:val="auto"/>
          <w:sz w:val="22"/>
          <w:lang w:eastAsia="zh-CN"/>
        </w:rPr>
        <w:t>。</w:t>
      </w:r>
    </w:p>
    <w:p w14:paraId="0E0CFAC5">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w:t>
      </w:r>
      <w:r>
        <w:rPr>
          <w:rFonts w:hint="eastAsia" w:asciiTheme="minorEastAsia" w:hAnsiTheme="minorEastAsia"/>
          <w:color w:val="auto"/>
          <w:sz w:val="22"/>
          <w:lang w:val="en-US" w:eastAsia="zh-CN"/>
        </w:rPr>
        <w:t>5</w:t>
      </w:r>
      <w:r>
        <w:rPr>
          <w:rFonts w:hint="eastAsia" w:asciiTheme="minorEastAsia" w:hAnsiTheme="minorEastAsia"/>
          <w:color w:val="auto"/>
          <w:sz w:val="22"/>
        </w:rPr>
        <w:t>）</w:t>
      </w:r>
      <w:r>
        <w:rPr>
          <w:rFonts w:hint="eastAsia" w:asciiTheme="minorEastAsia" w:hAnsiTheme="minorEastAsia"/>
          <w:color w:val="auto"/>
          <w:sz w:val="22"/>
          <w:lang w:val="en-US" w:eastAsia="zh-CN"/>
        </w:rPr>
        <w:t>投标人在投标报价中应充分考虑施工期间，学校的正常教学使用给投标人带来的临时停工和工效降低的影响，该情况产生的费用应由投标人综合考虑在投标报价中，结算时不再调整。</w:t>
      </w:r>
    </w:p>
    <w:p w14:paraId="20A87F45">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14:paraId="310990E7">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14:paraId="2DA23821">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13C5CBEE">
      <w:pPr>
        <w:spacing w:line="360" w:lineRule="auto"/>
        <w:ind w:firstLine="440" w:firstLineChars="200"/>
        <w:rPr>
          <w:rFonts w:asciiTheme="minorEastAsia" w:hAnsiTheme="minorEastAsia"/>
          <w:sz w:val="22"/>
        </w:rPr>
      </w:pPr>
      <w:r>
        <w:rPr>
          <w:rFonts w:hint="eastAsia" w:asciiTheme="minorEastAsia" w:hAnsiTheme="minorEastAsia"/>
          <w:sz w:val="22"/>
        </w:rPr>
        <w:t>1、本项目主要材料品牌推荐表如下：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843"/>
        <w:gridCol w:w="2410"/>
        <w:gridCol w:w="2410"/>
        <w:gridCol w:w="1184"/>
      </w:tblGrid>
      <w:tr w14:paraId="302E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55906BED">
            <w:pPr>
              <w:spacing w:line="360" w:lineRule="auto"/>
              <w:jc w:val="center"/>
              <w:rPr>
                <w:rFonts w:asciiTheme="minorEastAsia" w:hAnsiTheme="minorEastAsia"/>
                <w:color w:val="auto"/>
                <w:sz w:val="22"/>
              </w:rPr>
            </w:pPr>
            <w:r>
              <w:rPr>
                <w:rFonts w:hint="eastAsia" w:asciiTheme="minorEastAsia" w:hAnsiTheme="minorEastAsia"/>
                <w:color w:val="auto"/>
                <w:sz w:val="22"/>
              </w:rPr>
              <w:t>序号</w:t>
            </w:r>
          </w:p>
        </w:tc>
        <w:tc>
          <w:tcPr>
            <w:tcW w:w="1843" w:type="dxa"/>
          </w:tcPr>
          <w:p w14:paraId="5E23F19D">
            <w:pPr>
              <w:spacing w:line="360" w:lineRule="auto"/>
              <w:jc w:val="center"/>
              <w:rPr>
                <w:rFonts w:asciiTheme="minorEastAsia" w:hAnsiTheme="minorEastAsia"/>
                <w:color w:val="auto"/>
                <w:sz w:val="22"/>
              </w:rPr>
            </w:pPr>
            <w:r>
              <w:rPr>
                <w:rFonts w:hint="eastAsia" w:asciiTheme="minorEastAsia" w:hAnsiTheme="minorEastAsia"/>
                <w:color w:val="auto"/>
                <w:sz w:val="22"/>
              </w:rPr>
              <w:t>材料设备名称</w:t>
            </w:r>
          </w:p>
        </w:tc>
        <w:tc>
          <w:tcPr>
            <w:tcW w:w="2410" w:type="dxa"/>
          </w:tcPr>
          <w:p w14:paraId="2AE27CF1">
            <w:pPr>
              <w:spacing w:line="360" w:lineRule="auto"/>
              <w:jc w:val="center"/>
              <w:rPr>
                <w:rFonts w:asciiTheme="minorEastAsia" w:hAnsiTheme="minorEastAsia"/>
                <w:color w:val="auto"/>
                <w:sz w:val="22"/>
              </w:rPr>
            </w:pPr>
            <w:r>
              <w:rPr>
                <w:rFonts w:hint="eastAsia" w:asciiTheme="minorEastAsia" w:hAnsiTheme="minorEastAsia"/>
                <w:color w:val="auto"/>
                <w:sz w:val="22"/>
              </w:rPr>
              <w:t>推荐品牌（系列）</w:t>
            </w:r>
          </w:p>
        </w:tc>
        <w:tc>
          <w:tcPr>
            <w:tcW w:w="2410" w:type="dxa"/>
          </w:tcPr>
          <w:p w14:paraId="4472CE9A">
            <w:pPr>
              <w:spacing w:line="360" w:lineRule="auto"/>
              <w:jc w:val="center"/>
              <w:rPr>
                <w:rFonts w:asciiTheme="minorEastAsia" w:hAnsiTheme="minorEastAsia"/>
                <w:color w:val="auto"/>
                <w:sz w:val="22"/>
              </w:rPr>
            </w:pPr>
            <w:r>
              <w:rPr>
                <w:rFonts w:hint="eastAsia" w:asciiTheme="minorEastAsia" w:hAnsiTheme="minorEastAsia"/>
                <w:color w:val="auto"/>
                <w:sz w:val="22"/>
              </w:rPr>
              <w:t>制造商名称</w:t>
            </w:r>
          </w:p>
        </w:tc>
        <w:tc>
          <w:tcPr>
            <w:tcW w:w="1184" w:type="dxa"/>
          </w:tcPr>
          <w:p w14:paraId="495D6F04">
            <w:pPr>
              <w:spacing w:line="360" w:lineRule="auto"/>
              <w:jc w:val="center"/>
              <w:rPr>
                <w:rFonts w:asciiTheme="minorEastAsia" w:hAnsiTheme="minorEastAsia"/>
                <w:color w:val="auto"/>
                <w:sz w:val="22"/>
              </w:rPr>
            </w:pPr>
            <w:r>
              <w:rPr>
                <w:rFonts w:hint="eastAsia" w:asciiTheme="minorEastAsia" w:hAnsiTheme="minorEastAsia"/>
                <w:color w:val="auto"/>
                <w:sz w:val="22"/>
              </w:rPr>
              <w:t>备注</w:t>
            </w:r>
          </w:p>
        </w:tc>
      </w:tr>
      <w:tr w14:paraId="744F4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5" w:type="dxa"/>
          </w:tcPr>
          <w:p w14:paraId="31A3116A">
            <w:pPr>
              <w:spacing w:line="360" w:lineRule="auto"/>
              <w:jc w:val="center"/>
              <w:rPr>
                <w:rFonts w:hint="eastAsia" w:asciiTheme="minorEastAsia" w:hAnsiTheme="minorEastAsia"/>
                <w:color w:val="auto"/>
                <w:sz w:val="22"/>
                <w:lang w:val="en-US" w:eastAsia="zh-CN"/>
              </w:rPr>
            </w:pPr>
          </w:p>
          <w:p w14:paraId="2DA5FA17">
            <w:pPr>
              <w:spacing w:line="360" w:lineRule="auto"/>
              <w:jc w:val="center"/>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1</w:t>
            </w:r>
          </w:p>
        </w:tc>
        <w:tc>
          <w:tcPr>
            <w:tcW w:w="1843" w:type="dxa"/>
          </w:tcPr>
          <w:p w14:paraId="23877998">
            <w:pPr>
              <w:spacing w:line="360" w:lineRule="auto"/>
              <w:jc w:val="both"/>
              <w:rPr>
                <w:rFonts w:hint="eastAsia" w:asciiTheme="minorEastAsia" w:hAnsiTheme="minorEastAsia"/>
                <w:color w:val="auto"/>
                <w:sz w:val="22"/>
                <w:lang w:val="en-US" w:eastAsia="zh-CN"/>
              </w:rPr>
            </w:pPr>
          </w:p>
          <w:p w14:paraId="2EA3B7AC">
            <w:pPr>
              <w:spacing w:line="360" w:lineRule="auto"/>
              <w:ind w:firstLine="440" w:firstLineChars="200"/>
              <w:jc w:val="both"/>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PVDF膜</w:t>
            </w:r>
          </w:p>
        </w:tc>
        <w:tc>
          <w:tcPr>
            <w:tcW w:w="2410" w:type="dxa"/>
          </w:tcPr>
          <w:p w14:paraId="1A92058F">
            <w:pPr>
              <w:spacing w:line="360" w:lineRule="auto"/>
              <w:jc w:val="both"/>
              <w:rPr>
                <w:rFonts w:hint="eastAsia" w:asciiTheme="minorEastAsia" w:hAnsiTheme="minorEastAsia"/>
                <w:color w:val="auto"/>
                <w:sz w:val="22"/>
              </w:rPr>
            </w:pPr>
          </w:p>
          <w:p w14:paraId="6FDAD7AE">
            <w:pPr>
              <w:spacing w:line="360" w:lineRule="auto"/>
              <w:jc w:val="center"/>
              <w:rPr>
                <w:rFonts w:hint="eastAsia" w:asciiTheme="minorEastAsia" w:hAnsiTheme="minorEastAsia" w:eastAsiaTheme="minorEastAsia"/>
                <w:color w:val="auto"/>
                <w:sz w:val="22"/>
                <w:lang w:eastAsia="zh-CN"/>
              </w:rPr>
            </w:pPr>
            <w:r>
              <w:rPr>
                <w:rFonts w:hint="eastAsia" w:asciiTheme="minorEastAsia" w:hAnsiTheme="minorEastAsia"/>
                <w:color w:val="auto"/>
                <w:sz w:val="22"/>
              </w:rPr>
              <w:t>耐驰</w:t>
            </w:r>
            <w:r>
              <w:rPr>
                <w:rFonts w:hint="eastAsia" w:asciiTheme="minorEastAsia" w:hAnsiTheme="minorEastAsia"/>
                <w:color w:val="auto"/>
                <w:sz w:val="22"/>
                <w:lang w:eastAsia="zh-CN"/>
              </w:rPr>
              <w:t>、法拉利、米乐</w:t>
            </w:r>
          </w:p>
        </w:tc>
        <w:tc>
          <w:tcPr>
            <w:tcW w:w="2410" w:type="dxa"/>
          </w:tcPr>
          <w:p w14:paraId="10A38D50">
            <w:pPr>
              <w:spacing w:line="360" w:lineRule="auto"/>
              <w:rPr>
                <w:rFonts w:hint="eastAsia" w:asciiTheme="minorEastAsia" w:hAnsiTheme="minorEastAsia"/>
                <w:color w:val="auto"/>
                <w:sz w:val="18"/>
                <w:szCs w:val="18"/>
              </w:rPr>
            </w:pPr>
            <w:r>
              <w:rPr>
                <w:rFonts w:hint="eastAsia" w:asciiTheme="minorEastAsia" w:hAnsiTheme="minorEastAsia"/>
                <w:color w:val="auto"/>
                <w:sz w:val="18"/>
                <w:szCs w:val="18"/>
                <w:lang w:val="en-US" w:eastAsia="zh-CN"/>
              </w:rPr>
              <w:t>意大利</w:t>
            </w:r>
            <w:r>
              <w:rPr>
                <w:rFonts w:hint="eastAsia" w:asciiTheme="minorEastAsia" w:hAnsiTheme="minorEastAsia"/>
                <w:color w:val="auto"/>
                <w:sz w:val="18"/>
                <w:szCs w:val="18"/>
              </w:rPr>
              <w:t>耐驰</w:t>
            </w:r>
          </w:p>
          <w:p w14:paraId="68EE1957">
            <w:pPr>
              <w:spacing w:line="360" w:lineRule="auto"/>
              <w:rPr>
                <w:rFonts w:hint="default" w:asciiTheme="minorEastAsia" w:hAnsiTheme="minorEastAsia"/>
                <w:color w:val="auto"/>
                <w:sz w:val="18"/>
                <w:szCs w:val="18"/>
                <w:lang w:val="en-US" w:eastAsia="zh-CN"/>
              </w:rPr>
            </w:pPr>
            <w:r>
              <w:rPr>
                <w:rFonts w:hint="default" w:asciiTheme="minorEastAsia" w:hAnsiTheme="minorEastAsia"/>
                <w:color w:val="auto"/>
                <w:sz w:val="18"/>
                <w:szCs w:val="18"/>
                <w:lang w:val="en-US" w:eastAsia="zh-CN"/>
              </w:rPr>
              <w:t>法国法拉利膜材</w:t>
            </w:r>
          </w:p>
          <w:p w14:paraId="58687F04">
            <w:pPr>
              <w:spacing w:line="360" w:lineRule="auto"/>
              <w:rPr>
                <w:rFonts w:hint="default" w:asciiTheme="minorEastAsia" w:hAnsiTheme="minorEastAsia"/>
                <w:color w:val="auto"/>
                <w:sz w:val="18"/>
                <w:szCs w:val="18"/>
                <w:lang w:val="en-US" w:eastAsia="zh-CN"/>
              </w:rPr>
            </w:pPr>
            <w:r>
              <w:rPr>
                <w:rFonts w:hint="default" w:asciiTheme="minorEastAsia" w:hAnsiTheme="minorEastAsia"/>
                <w:color w:val="auto"/>
                <w:sz w:val="18"/>
                <w:szCs w:val="18"/>
                <w:lang w:val="en-US" w:eastAsia="zh-CN"/>
              </w:rPr>
              <w:t>德国米乐膜材</w:t>
            </w:r>
          </w:p>
          <w:p w14:paraId="195486D9">
            <w:pPr>
              <w:spacing w:line="360" w:lineRule="auto"/>
              <w:rPr>
                <w:rFonts w:hint="eastAsia" w:asciiTheme="minorEastAsia" w:hAnsiTheme="minorEastAsia"/>
                <w:color w:val="auto"/>
                <w:sz w:val="18"/>
                <w:szCs w:val="18"/>
                <w:lang w:eastAsia="zh-CN"/>
              </w:rPr>
            </w:pPr>
          </w:p>
        </w:tc>
        <w:tc>
          <w:tcPr>
            <w:tcW w:w="1184" w:type="dxa"/>
          </w:tcPr>
          <w:p w14:paraId="3E85DCD3">
            <w:pPr>
              <w:spacing w:line="360" w:lineRule="auto"/>
              <w:rPr>
                <w:rFonts w:asciiTheme="minorEastAsia" w:hAnsiTheme="minorEastAsia"/>
                <w:color w:val="FF0000"/>
                <w:sz w:val="22"/>
              </w:rPr>
            </w:pPr>
          </w:p>
        </w:tc>
      </w:tr>
      <w:tr w14:paraId="1588C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75" w:type="dxa"/>
          </w:tcPr>
          <w:p w14:paraId="202696EC">
            <w:pPr>
              <w:spacing w:line="360" w:lineRule="auto"/>
              <w:jc w:val="center"/>
              <w:rPr>
                <w:rFonts w:hint="eastAsia" w:asciiTheme="minorEastAsia" w:hAnsiTheme="minorEastAsia"/>
                <w:color w:val="auto"/>
                <w:sz w:val="22"/>
                <w:lang w:val="en-US" w:eastAsia="zh-CN"/>
              </w:rPr>
            </w:pPr>
          </w:p>
          <w:p w14:paraId="3854A630">
            <w:pPr>
              <w:spacing w:line="360" w:lineRule="auto"/>
              <w:jc w:val="center"/>
              <w:rPr>
                <w:rFonts w:hint="default" w:asciiTheme="minorEastAsia" w:hAnsiTheme="minorEastAsia"/>
                <w:color w:val="auto"/>
                <w:sz w:val="22"/>
                <w:lang w:val="en-US" w:eastAsia="zh-CN"/>
              </w:rPr>
            </w:pPr>
            <w:r>
              <w:rPr>
                <w:rFonts w:hint="eastAsia" w:asciiTheme="minorEastAsia" w:hAnsiTheme="minorEastAsia"/>
                <w:color w:val="auto"/>
                <w:sz w:val="22"/>
                <w:lang w:val="en-US" w:eastAsia="zh-CN"/>
              </w:rPr>
              <w:t>2</w:t>
            </w:r>
          </w:p>
        </w:tc>
        <w:tc>
          <w:tcPr>
            <w:tcW w:w="1843" w:type="dxa"/>
            <w:vAlign w:val="top"/>
          </w:tcPr>
          <w:p w14:paraId="0E949A8A">
            <w:pPr>
              <w:spacing w:line="360" w:lineRule="auto"/>
              <w:ind w:firstLine="440" w:firstLineChars="200"/>
              <w:jc w:val="both"/>
              <w:rPr>
                <w:rFonts w:hint="eastAsia" w:asciiTheme="minorEastAsia" w:hAnsiTheme="minorEastAsia"/>
                <w:color w:val="auto"/>
                <w:sz w:val="22"/>
                <w:lang w:val="en-US" w:eastAsia="zh-CN"/>
              </w:rPr>
            </w:pPr>
          </w:p>
          <w:p w14:paraId="6708A2B6">
            <w:pPr>
              <w:spacing w:line="360" w:lineRule="auto"/>
              <w:ind w:firstLine="440" w:firstLineChars="200"/>
              <w:jc w:val="both"/>
              <w:rPr>
                <w:rFonts w:hint="eastAsia" w:asciiTheme="minorEastAsia" w:hAnsiTheme="minorEastAsia" w:eastAsiaTheme="minorEastAsia" w:cstheme="minorBidi"/>
                <w:color w:val="auto"/>
                <w:kern w:val="2"/>
                <w:sz w:val="22"/>
                <w:szCs w:val="22"/>
                <w:lang w:val="en-US" w:eastAsia="zh-CN" w:bidi="ar-SA"/>
              </w:rPr>
            </w:pPr>
            <w:r>
              <w:rPr>
                <w:rFonts w:hint="eastAsia" w:asciiTheme="minorEastAsia" w:hAnsiTheme="minorEastAsia"/>
                <w:color w:val="auto"/>
                <w:sz w:val="22"/>
                <w:lang w:val="en-US" w:eastAsia="zh-CN"/>
              </w:rPr>
              <w:t>钢材</w:t>
            </w:r>
          </w:p>
        </w:tc>
        <w:tc>
          <w:tcPr>
            <w:tcW w:w="2410" w:type="dxa"/>
            <w:vAlign w:val="top"/>
          </w:tcPr>
          <w:p w14:paraId="50BAF514">
            <w:pPr>
              <w:spacing w:line="360" w:lineRule="auto"/>
              <w:jc w:val="both"/>
              <w:rPr>
                <w:rFonts w:hint="eastAsia" w:asciiTheme="minorEastAsia" w:hAnsiTheme="minorEastAsia"/>
                <w:color w:val="auto"/>
                <w:sz w:val="22"/>
              </w:rPr>
            </w:pPr>
          </w:p>
          <w:p w14:paraId="7D3E9B1B">
            <w:pPr>
              <w:spacing w:line="360" w:lineRule="auto"/>
              <w:jc w:val="both"/>
              <w:rPr>
                <w:rFonts w:hint="eastAsia" w:asciiTheme="minorEastAsia" w:hAnsiTheme="minorEastAsia" w:eastAsiaTheme="minorEastAsia" w:cstheme="minorBidi"/>
                <w:color w:val="auto"/>
                <w:kern w:val="2"/>
                <w:sz w:val="22"/>
                <w:szCs w:val="22"/>
                <w:lang w:val="en-US" w:eastAsia="zh-CN" w:bidi="ar-SA"/>
              </w:rPr>
            </w:pPr>
            <w:r>
              <w:rPr>
                <w:rFonts w:hint="eastAsia" w:asciiTheme="minorEastAsia" w:hAnsiTheme="minorEastAsia"/>
                <w:color w:val="auto"/>
                <w:sz w:val="22"/>
              </w:rPr>
              <w:t>马钢</w:t>
            </w: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沙钢、南钢</w:t>
            </w:r>
          </w:p>
        </w:tc>
        <w:tc>
          <w:tcPr>
            <w:tcW w:w="2410" w:type="dxa"/>
            <w:vAlign w:val="top"/>
          </w:tcPr>
          <w:p w14:paraId="41DC9E1F">
            <w:pPr>
              <w:spacing w:line="360" w:lineRule="auto"/>
              <w:rPr>
                <w:rFonts w:hint="eastAsia" w:asciiTheme="minorEastAsia" w:hAnsiTheme="minorEastAsia"/>
                <w:color w:val="auto"/>
                <w:sz w:val="18"/>
                <w:szCs w:val="18"/>
                <w:lang w:eastAsia="zh-CN"/>
              </w:rPr>
            </w:pPr>
            <w:r>
              <w:rPr>
                <w:rFonts w:hint="eastAsia" w:asciiTheme="minorEastAsia" w:hAnsiTheme="minorEastAsia"/>
                <w:color w:val="auto"/>
                <w:sz w:val="18"/>
                <w:szCs w:val="18"/>
              </w:rPr>
              <w:t>马鞍山钢铁股份有限公司</w:t>
            </w:r>
            <w:r>
              <w:rPr>
                <w:rFonts w:hint="eastAsia" w:asciiTheme="minorEastAsia" w:hAnsiTheme="minorEastAsia"/>
                <w:color w:val="auto"/>
                <w:sz w:val="18"/>
                <w:szCs w:val="18"/>
                <w:lang w:eastAsia="zh-CN"/>
              </w:rPr>
              <w:t>、江苏沙钢集团有限公司、</w:t>
            </w:r>
          </w:p>
          <w:p w14:paraId="70EACB13">
            <w:pPr>
              <w:spacing w:line="360" w:lineRule="auto"/>
              <w:rPr>
                <w:rFonts w:hint="eastAsia" w:asciiTheme="minorEastAsia" w:hAnsiTheme="minorEastAsia" w:eastAsiaTheme="minorEastAsia" w:cstheme="minorBidi"/>
                <w:color w:val="auto"/>
                <w:kern w:val="2"/>
                <w:sz w:val="18"/>
                <w:szCs w:val="18"/>
                <w:lang w:val="en-US" w:eastAsia="zh-CN" w:bidi="ar-SA"/>
              </w:rPr>
            </w:pPr>
            <w:r>
              <w:rPr>
                <w:rFonts w:hint="eastAsia" w:asciiTheme="minorEastAsia" w:hAnsiTheme="minorEastAsia"/>
                <w:color w:val="auto"/>
                <w:sz w:val="18"/>
                <w:szCs w:val="18"/>
                <w:lang w:eastAsia="zh-CN"/>
              </w:rPr>
              <w:t>南京钢铁股份有限公司</w:t>
            </w:r>
          </w:p>
        </w:tc>
        <w:tc>
          <w:tcPr>
            <w:tcW w:w="1184" w:type="dxa"/>
          </w:tcPr>
          <w:p w14:paraId="73DB90D8">
            <w:pPr>
              <w:spacing w:line="360" w:lineRule="auto"/>
              <w:rPr>
                <w:rFonts w:asciiTheme="minorEastAsia" w:hAnsiTheme="minorEastAsia"/>
                <w:color w:val="FF0000"/>
                <w:sz w:val="22"/>
              </w:rPr>
            </w:pPr>
          </w:p>
        </w:tc>
      </w:tr>
    </w:tbl>
    <w:p w14:paraId="00D0AD56">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14:paraId="12371E3E">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20A75860">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14:paraId="695323CA">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4E03DE9B">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14:paraId="05116758">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14:paraId="6260D293">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14:paraId="42673DAB">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14:paraId="74354CB3">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14:paraId="4EEA0492">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14:paraId="467FB60B">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14:paraId="06721FFE">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14:paraId="34D871A1">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23B66728">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NDM1OGI5MGIwNzQ2MmYyNzQyMDBlZWU2OWZiMTg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24535A0"/>
    <w:rsid w:val="08A41020"/>
    <w:rsid w:val="0DB65122"/>
    <w:rsid w:val="142B510D"/>
    <w:rsid w:val="146E65E7"/>
    <w:rsid w:val="25150C86"/>
    <w:rsid w:val="38812BA9"/>
    <w:rsid w:val="3AD177E5"/>
    <w:rsid w:val="49A7121D"/>
    <w:rsid w:val="4AF03E63"/>
    <w:rsid w:val="63080CBD"/>
    <w:rsid w:val="73F21573"/>
    <w:rsid w:val="7BBF46F2"/>
    <w:rsid w:val="7D4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 w:type="paragraph" w:customStyle="1" w:styleId="11">
    <w:name w:val="List Paragraph1"/>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2410</Words>
  <Characters>2555</Characters>
  <Lines>19</Lines>
  <Paragraphs>5</Paragraphs>
  <TotalTime>6</TotalTime>
  <ScaleCrop>false</ScaleCrop>
  <LinksUpToDate>false</LinksUpToDate>
  <CharactersWithSpaces>2558</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旧城以西</cp:lastModifiedBy>
  <dcterms:modified xsi:type="dcterms:W3CDTF">2024-09-19T09:12:02Z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49C06F81FCB543C1879DC83357FE5948_12</vt:lpwstr>
  </property>
</Properties>
</file>