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F9F35">
      <w:pPr>
        <w:jc w:val="center"/>
        <w:rPr>
          <w:b/>
          <w:color w:val="auto"/>
          <w:sz w:val="32"/>
          <w:szCs w:val="32"/>
        </w:rPr>
      </w:pPr>
      <w:r>
        <w:rPr>
          <w:rFonts w:hint="eastAsia"/>
          <w:b/>
          <w:color w:val="auto"/>
          <w:sz w:val="32"/>
          <w:szCs w:val="32"/>
        </w:rPr>
        <w:t>招标工程量清单编制说明</w:t>
      </w:r>
    </w:p>
    <w:p w14:paraId="3A9FFD9C">
      <w:pPr>
        <w:spacing w:line="360" w:lineRule="auto"/>
        <w:rPr>
          <w:rFonts w:hint="eastAsia"/>
          <w:color w:val="auto"/>
          <w:sz w:val="28"/>
          <w:szCs w:val="28"/>
          <w:lang w:eastAsia="zh-CN"/>
        </w:rPr>
      </w:pPr>
      <w:r>
        <w:rPr>
          <w:rFonts w:hint="eastAsia"/>
          <w:color w:val="auto"/>
          <w:sz w:val="28"/>
          <w:szCs w:val="28"/>
        </w:rPr>
        <w:t>一</w:t>
      </w:r>
      <w:r>
        <w:rPr>
          <w:rFonts w:hint="eastAsia"/>
          <w:color w:val="auto"/>
          <w:sz w:val="28"/>
          <w:szCs w:val="28"/>
          <w:lang w:eastAsia="zh-CN"/>
        </w:rPr>
        <w:t>、</w:t>
      </w:r>
      <w:r>
        <w:rPr>
          <w:rFonts w:hint="eastAsia"/>
          <w:color w:val="auto"/>
          <w:sz w:val="28"/>
          <w:szCs w:val="28"/>
        </w:rPr>
        <w:t>工程概况</w:t>
      </w:r>
    </w:p>
    <w:p w14:paraId="372D0330">
      <w:pPr>
        <w:spacing w:line="360" w:lineRule="auto"/>
        <w:ind w:firstLine="440" w:firstLineChars="200"/>
        <w:rPr>
          <w:rFonts w:hint="eastAsia"/>
          <w:color w:val="auto"/>
          <w:sz w:val="22"/>
        </w:rPr>
      </w:pPr>
      <w:r>
        <w:rPr>
          <w:rFonts w:hint="eastAsia"/>
          <w:color w:val="auto"/>
          <w:sz w:val="22"/>
        </w:rPr>
        <w:t>本项目为</w:t>
      </w:r>
      <w:r>
        <w:rPr>
          <w:rFonts w:hint="eastAsia"/>
          <w:color w:val="auto"/>
          <w:sz w:val="22"/>
          <w:lang w:val="en-US" w:eastAsia="zh-CN"/>
        </w:rPr>
        <w:t>南京大学仙林校区宿舍楼1~5#屋顶桥架出新</w:t>
      </w:r>
      <w:r>
        <w:rPr>
          <w:rFonts w:hint="eastAsia"/>
          <w:color w:val="auto"/>
          <w:sz w:val="22"/>
          <w:lang w:eastAsia="zh-CN"/>
        </w:rPr>
        <w:t>工程</w:t>
      </w:r>
      <w:r>
        <w:rPr>
          <w:rFonts w:hint="eastAsia"/>
          <w:color w:val="auto"/>
          <w:sz w:val="22"/>
        </w:rPr>
        <w:t>。项目主要内容为</w:t>
      </w:r>
      <w:r>
        <w:rPr>
          <w:rFonts w:hint="eastAsia"/>
          <w:color w:val="auto"/>
          <w:sz w:val="22"/>
          <w:lang w:val="en-US" w:eastAsia="zh-CN"/>
        </w:rPr>
        <w:t>原桥架拆除清理、部分损坏的桥架支架拆除清理、屋顶新桥架以及支架的施工、屋顶桥架接地的施工等</w:t>
      </w:r>
      <w:r>
        <w:rPr>
          <w:rFonts w:hint="eastAsia"/>
          <w:color w:val="auto"/>
          <w:sz w:val="22"/>
        </w:rPr>
        <w:t>。</w:t>
      </w:r>
    </w:p>
    <w:p w14:paraId="6BCEE318">
      <w:pPr>
        <w:spacing w:line="360" w:lineRule="auto"/>
        <w:rPr>
          <w:color w:val="auto"/>
          <w:kern w:val="0"/>
          <w:sz w:val="22"/>
          <w:lang w:bidi="ar"/>
        </w:rPr>
      </w:pPr>
      <w:r>
        <w:rPr>
          <w:rFonts w:hint="eastAsia"/>
          <w:color w:val="auto"/>
          <w:sz w:val="28"/>
          <w:szCs w:val="28"/>
        </w:rPr>
        <w:t>二、工程招标和分包范围</w:t>
      </w:r>
    </w:p>
    <w:p w14:paraId="274B31CD">
      <w:pPr>
        <w:spacing w:line="360" w:lineRule="auto"/>
        <w:ind w:firstLine="440" w:firstLineChars="200"/>
        <w:rPr>
          <w:rFonts w:hint="eastAsia"/>
          <w:color w:val="auto"/>
          <w:sz w:val="22"/>
        </w:rPr>
      </w:pPr>
      <w:r>
        <w:rPr>
          <w:rFonts w:hint="eastAsia"/>
          <w:color w:val="auto"/>
          <w:sz w:val="22"/>
          <w:lang w:val="en-US" w:eastAsia="zh-CN"/>
        </w:rPr>
        <w:t>宿舍楼1~5#屋顶桥架出新</w:t>
      </w:r>
      <w:r>
        <w:rPr>
          <w:rFonts w:hint="eastAsia"/>
          <w:color w:val="auto"/>
          <w:sz w:val="22"/>
          <w:lang w:eastAsia="zh-CN"/>
        </w:rPr>
        <w:t>工程</w:t>
      </w:r>
      <w:r>
        <w:rPr>
          <w:rFonts w:hint="eastAsia"/>
          <w:color w:val="auto"/>
          <w:sz w:val="22"/>
        </w:rPr>
        <w:t>，具体</w:t>
      </w:r>
      <w:r>
        <w:rPr>
          <w:rFonts w:hint="eastAsia"/>
          <w:color w:val="auto"/>
          <w:sz w:val="22"/>
          <w:lang w:val="en-US" w:eastAsia="zh-CN"/>
        </w:rPr>
        <w:t>现场实际踏勘</w:t>
      </w:r>
      <w:r>
        <w:rPr>
          <w:rFonts w:hint="eastAsia"/>
          <w:color w:val="auto"/>
          <w:sz w:val="22"/>
        </w:rPr>
        <w:t>、</w:t>
      </w:r>
      <w:r>
        <w:rPr>
          <w:rFonts w:hint="eastAsia"/>
          <w:color w:val="auto"/>
          <w:sz w:val="22"/>
          <w:lang w:val="en-US" w:eastAsia="zh-CN"/>
        </w:rPr>
        <w:t>原桥架施工图纸</w:t>
      </w:r>
      <w:r>
        <w:rPr>
          <w:rFonts w:hint="eastAsia"/>
          <w:color w:val="auto"/>
          <w:sz w:val="22"/>
        </w:rPr>
        <w:t>、工程量清单及招标文件等相关内容。</w:t>
      </w:r>
    </w:p>
    <w:p w14:paraId="02580996">
      <w:pPr>
        <w:spacing w:line="360" w:lineRule="auto"/>
        <w:rPr>
          <w:color w:val="auto"/>
          <w:sz w:val="28"/>
          <w:szCs w:val="28"/>
        </w:rPr>
      </w:pPr>
      <w:r>
        <w:rPr>
          <w:rFonts w:hint="eastAsia"/>
          <w:color w:val="auto"/>
          <w:sz w:val="28"/>
          <w:szCs w:val="28"/>
        </w:rPr>
        <w:t>三、编制依据</w:t>
      </w:r>
    </w:p>
    <w:p w14:paraId="5ECEDBC4">
      <w:pPr>
        <w:spacing w:line="360" w:lineRule="auto"/>
        <w:ind w:firstLine="440" w:firstLineChars="200"/>
        <w:rPr>
          <w:color w:val="auto"/>
          <w:sz w:val="22"/>
        </w:rPr>
      </w:pPr>
      <w:r>
        <w:rPr>
          <w:rFonts w:hint="eastAsia"/>
          <w:color w:val="auto"/>
          <w:sz w:val="22"/>
        </w:rPr>
        <w:t>1、</w:t>
      </w:r>
      <w:r>
        <w:rPr>
          <w:rFonts w:hint="eastAsia"/>
          <w:color w:val="auto"/>
          <w:sz w:val="22"/>
          <w:lang w:val="en-US" w:eastAsia="zh-CN"/>
        </w:rPr>
        <w:t xml:space="preserve"> 现场实际踏勘、原桥架的施工图纸</w:t>
      </w:r>
      <w:r>
        <w:rPr>
          <w:rFonts w:hint="eastAsia"/>
          <w:color w:val="auto"/>
          <w:sz w:val="22"/>
        </w:rPr>
        <w:t>。</w:t>
      </w:r>
    </w:p>
    <w:p w14:paraId="3BEC8740">
      <w:pPr>
        <w:spacing w:line="360" w:lineRule="auto"/>
        <w:ind w:firstLine="440" w:firstLineChars="200"/>
        <w:rPr>
          <w:color w:val="auto"/>
          <w:sz w:val="22"/>
        </w:rPr>
      </w:pPr>
      <w:r>
        <w:rPr>
          <w:rFonts w:hint="eastAsia"/>
          <w:color w:val="auto"/>
          <w:sz w:val="22"/>
        </w:rPr>
        <w:t>2、</w:t>
      </w:r>
      <w:r>
        <w:rPr>
          <w:rFonts w:hint="eastAsia"/>
          <w:color w:val="auto"/>
          <w:sz w:val="22"/>
          <w:lang w:eastAsia="zh-CN"/>
        </w:rPr>
        <w:t>《</w:t>
      </w:r>
      <w:r>
        <w:rPr>
          <w:rFonts w:hint="eastAsia"/>
          <w:color w:val="auto"/>
          <w:sz w:val="22"/>
        </w:rPr>
        <w:t>建设工程工程量清单计价规范》（GB50500-2013）、《通用安装工程工程量计算规范》（GB50856-2013）</w:t>
      </w:r>
      <w:r>
        <w:rPr>
          <w:rFonts w:hint="eastAsia"/>
          <w:color w:val="auto"/>
          <w:sz w:val="22"/>
          <w:lang w:eastAsia="zh-CN"/>
        </w:rPr>
        <w:t>、</w:t>
      </w:r>
      <w:r>
        <w:rPr>
          <w:rFonts w:hint="eastAsia"/>
          <w:color w:val="auto"/>
          <w:sz w:val="22"/>
        </w:rPr>
        <w:t>《及关于《建设工程工程量清单计价规范》（GB50500-2013）及其 9 本工程量计算规范的贯彻意见（苏建价〔2014〕448 号）。</w:t>
      </w:r>
    </w:p>
    <w:p w14:paraId="6F8558D8">
      <w:pPr>
        <w:spacing w:line="360" w:lineRule="auto"/>
        <w:ind w:firstLine="440" w:firstLineChars="200"/>
        <w:rPr>
          <w:color w:val="auto"/>
          <w:sz w:val="22"/>
        </w:rPr>
      </w:pPr>
      <w:r>
        <w:rPr>
          <w:rFonts w:hint="eastAsia"/>
          <w:color w:val="auto"/>
          <w:sz w:val="22"/>
          <w:lang w:val="en-US" w:eastAsia="zh-CN"/>
        </w:rPr>
        <w:t>3</w:t>
      </w:r>
      <w:r>
        <w:rPr>
          <w:rFonts w:hint="eastAsia"/>
          <w:color w:val="auto"/>
          <w:sz w:val="22"/>
        </w:rPr>
        <w:t>、 《省住房城乡建设厅关于建筑业增值税计价政策调整的通知》苏建函价（2019）178号文。</w:t>
      </w:r>
    </w:p>
    <w:p w14:paraId="0CA038D8">
      <w:pPr>
        <w:spacing w:line="360" w:lineRule="auto"/>
        <w:ind w:firstLine="440" w:firstLineChars="200"/>
        <w:rPr>
          <w:color w:val="auto"/>
          <w:sz w:val="22"/>
        </w:rPr>
      </w:pPr>
      <w:r>
        <w:rPr>
          <w:rFonts w:hint="eastAsia"/>
          <w:color w:val="auto"/>
          <w:sz w:val="22"/>
          <w:lang w:val="en-US" w:eastAsia="zh-CN"/>
        </w:rPr>
        <w:t>4</w:t>
      </w:r>
      <w:r>
        <w:rPr>
          <w:rFonts w:hint="eastAsia"/>
          <w:color w:val="auto"/>
          <w:sz w:val="22"/>
        </w:rPr>
        <w:t>、与建设项目相关的标准、规范、技术资料。</w:t>
      </w:r>
    </w:p>
    <w:p w14:paraId="1E690E73">
      <w:pPr>
        <w:spacing w:line="360" w:lineRule="auto"/>
        <w:ind w:firstLine="440" w:firstLineChars="200"/>
        <w:rPr>
          <w:color w:val="auto"/>
          <w:sz w:val="22"/>
        </w:rPr>
      </w:pPr>
      <w:r>
        <w:rPr>
          <w:rFonts w:hint="eastAsia"/>
          <w:color w:val="auto"/>
          <w:sz w:val="22"/>
          <w:lang w:val="en-US" w:eastAsia="zh-CN"/>
        </w:rPr>
        <w:t>5</w:t>
      </w:r>
      <w:r>
        <w:rPr>
          <w:rFonts w:hint="eastAsia"/>
          <w:color w:val="auto"/>
          <w:sz w:val="22"/>
        </w:rPr>
        <w:t>、</w:t>
      </w:r>
      <w:r>
        <w:rPr>
          <w:color w:val="auto"/>
          <w:sz w:val="22"/>
        </w:rPr>
        <w:t xml:space="preserve"> </w:t>
      </w:r>
      <w:r>
        <w:rPr>
          <w:rFonts w:hint="eastAsia"/>
          <w:color w:val="auto"/>
          <w:sz w:val="22"/>
        </w:rPr>
        <w:t>施工现场情况、工程特点及常规施工方案。</w:t>
      </w:r>
    </w:p>
    <w:p w14:paraId="41943346">
      <w:pPr>
        <w:spacing w:line="360" w:lineRule="auto"/>
        <w:rPr>
          <w:color w:val="auto"/>
          <w:sz w:val="28"/>
          <w:szCs w:val="28"/>
        </w:rPr>
      </w:pPr>
      <w:r>
        <w:rPr>
          <w:rFonts w:hint="eastAsia"/>
          <w:color w:val="auto"/>
          <w:sz w:val="28"/>
          <w:szCs w:val="28"/>
        </w:rPr>
        <w:t>四、取费标准</w:t>
      </w:r>
    </w:p>
    <w:p w14:paraId="7B309622">
      <w:pPr>
        <w:spacing w:line="360" w:lineRule="auto"/>
        <w:ind w:firstLine="440" w:firstLineChars="200"/>
        <w:rPr>
          <w:color w:val="auto"/>
          <w:sz w:val="22"/>
        </w:rPr>
      </w:pPr>
      <w:r>
        <w:rPr>
          <w:rFonts w:hint="eastAsia"/>
          <w:color w:val="auto"/>
          <w:sz w:val="22"/>
          <w:lang w:val="en-US" w:eastAsia="zh-CN"/>
        </w:rPr>
        <w:t>1</w:t>
      </w:r>
      <w:r>
        <w:rPr>
          <w:rFonts w:hint="eastAsia"/>
          <w:color w:val="auto"/>
          <w:sz w:val="22"/>
        </w:rPr>
        <w:t>、《省住房城乡建设厅关于建筑业实施营改增后江苏省建设工程计价依据调整的通知》 苏建价（2016）154号文及相关附件。</w:t>
      </w:r>
    </w:p>
    <w:p w14:paraId="177C730F">
      <w:pPr>
        <w:spacing w:line="360" w:lineRule="auto"/>
        <w:ind w:firstLine="440" w:firstLineChars="200"/>
        <w:rPr>
          <w:color w:val="auto"/>
          <w:sz w:val="22"/>
        </w:rPr>
      </w:pPr>
      <w:r>
        <w:rPr>
          <w:rFonts w:hint="eastAsia"/>
          <w:color w:val="auto"/>
          <w:sz w:val="22"/>
          <w:lang w:val="en-US" w:eastAsia="zh-CN"/>
        </w:rPr>
        <w:t>2</w:t>
      </w:r>
      <w:r>
        <w:rPr>
          <w:rFonts w:hint="eastAsia"/>
          <w:color w:val="auto"/>
          <w:sz w:val="22"/>
        </w:rPr>
        <w:t>、《省住房城乡建设厅关于建筑业增值税计价政策调整的通知》苏建函价（2019）178号文。</w:t>
      </w:r>
    </w:p>
    <w:p w14:paraId="3CF7F232">
      <w:pPr>
        <w:spacing w:line="360" w:lineRule="auto"/>
        <w:ind w:firstLine="440" w:firstLineChars="200"/>
        <w:rPr>
          <w:color w:val="auto"/>
          <w:sz w:val="22"/>
        </w:rPr>
      </w:pPr>
      <w:r>
        <w:rPr>
          <w:rFonts w:hint="eastAsia"/>
          <w:color w:val="auto"/>
          <w:sz w:val="22"/>
          <w:lang w:val="en-US" w:eastAsia="zh-CN"/>
        </w:rPr>
        <w:t>3</w:t>
      </w:r>
      <w:r>
        <w:rPr>
          <w:rFonts w:hint="eastAsia"/>
          <w:color w:val="auto"/>
          <w:sz w:val="22"/>
        </w:rPr>
        <w:t>、安全文明施工措施费计取基本费和扬尘污染防治增加费。</w:t>
      </w:r>
    </w:p>
    <w:p w14:paraId="1661AC00">
      <w:pPr>
        <w:spacing w:line="360" w:lineRule="auto"/>
        <w:ind w:firstLine="440" w:firstLineChars="200"/>
        <w:rPr>
          <w:rFonts w:hint="eastAsia"/>
          <w:color w:val="auto"/>
          <w:sz w:val="22"/>
        </w:rPr>
      </w:pPr>
      <w:r>
        <w:rPr>
          <w:rFonts w:hint="eastAsia"/>
          <w:color w:val="auto"/>
          <w:sz w:val="22"/>
        </w:rPr>
        <w:t>4、《省住房城乡建设厅关于建筑工人实名制费用计取方法的公告》〔2019〕第19号</w:t>
      </w:r>
    </w:p>
    <w:p w14:paraId="1B2B50C3">
      <w:pPr>
        <w:spacing w:line="360" w:lineRule="auto"/>
        <w:ind w:firstLine="440" w:firstLineChars="200"/>
        <w:rPr>
          <w:rFonts w:hint="eastAsia"/>
          <w:color w:val="auto"/>
          <w:sz w:val="22"/>
        </w:rPr>
      </w:pPr>
      <w:r>
        <w:rPr>
          <w:rFonts w:hint="eastAsia"/>
          <w:color w:val="auto"/>
          <w:sz w:val="22"/>
        </w:rPr>
        <w:t>5、依据《建设工程计价设备材料划分标准》（GB/T50531-2009）划分的设备以设备形式计入且不计取总价措施费及规费。</w:t>
      </w:r>
    </w:p>
    <w:p w14:paraId="520B67D4">
      <w:pPr>
        <w:spacing w:line="360" w:lineRule="auto"/>
        <w:ind w:firstLine="440" w:firstLineChars="200"/>
        <w:rPr>
          <w:rFonts w:hint="eastAsia"/>
          <w:color w:val="auto"/>
          <w:sz w:val="22"/>
        </w:rPr>
      </w:pPr>
      <w:r>
        <w:rPr>
          <w:rFonts w:hint="eastAsia"/>
          <w:color w:val="auto"/>
          <w:sz w:val="22"/>
        </w:rPr>
        <w:t>6、政策性文件及报价参考执行投标截止日前省市建委造价有关文件，投标截止日后的省市建委造价文件不予执行。</w:t>
      </w:r>
    </w:p>
    <w:p w14:paraId="5F57C618">
      <w:pPr>
        <w:spacing w:line="360" w:lineRule="auto"/>
        <w:ind w:firstLine="440" w:firstLineChars="200"/>
        <w:rPr>
          <w:rFonts w:hint="eastAsia"/>
          <w:color w:val="auto"/>
          <w:sz w:val="22"/>
        </w:rPr>
      </w:pPr>
      <w:r>
        <w:rPr>
          <w:rFonts w:hint="eastAsia"/>
          <w:color w:val="auto"/>
          <w:sz w:val="22"/>
        </w:rPr>
        <w:t>7、人工工资参考江苏省建设工程人工工资指导价自主报价，其它费用按照省市建委发布的有关文件及政策规定等执行，报价参考执行投标截止日前省建设厅、市建委造价有关文件。</w:t>
      </w:r>
    </w:p>
    <w:p w14:paraId="433ADCB1">
      <w:pPr>
        <w:spacing w:line="360" w:lineRule="auto"/>
        <w:ind w:firstLine="440" w:firstLineChars="200"/>
        <w:rPr>
          <w:color w:val="auto"/>
          <w:sz w:val="22"/>
        </w:rPr>
      </w:pPr>
      <w:r>
        <w:rPr>
          <w:rFonts w:hint="eastAsia"/>
          <w:color w:val="auto"/>
          <w:sz w:val="22"/>
        </w:rPr>
        <w:t>8、暂列金额及暂估价：</w:t>
      </w:r>
    </w:p>
    <w:p w14:paraId="5E9300C0">
      <w:pPr>
        <w:spacing w:line="360" w:lineRule="auto"/>
        <w:ind w:firstLine="440" w:firstLineChars="200"/>
        <w:rPr>
          <w:color w:val="auto"/>
          <w:sz w:val="22"/>
        </w:rPr>
      </w:pPr>
      <w:r>
        <w:rPr>
          <w:rFonts w:hint="eastAsia"/>
          <w:color w:val="auto"/>
          <w:sz w:val="22"/>
        </w:rPr>
        <w:t>（1）暂列金额：</w:t>
      </w:r>
      <w:r>
        <w:rPr>
          <w:rFonts w:hint="eastAsia"/>
          <w:color w:val="auto"/>
          <w:sz w:val="22"/>
          <w:highlight w:val="none"/>
        </w:rPr>
        <w:t>详见招标清单</w:t>
      </w:r>
      <w:r>
        <w:rPr>
          <w:rFonts w:hint="eastAsia"/>
          <w:color w:val="auto"/>
          <w:sz w:val="22"/>
        </w:rPr>
        <w:t>。</w:t>
      </w:r>
    </w:p>
    <w:p w14:paraId="7A75E5EE">
      <w:pPr>
        <w:spacing w:line="360" w:lineRule="auto"/>
        <w:ind w:firstLine="440" w:firstLineChars="200"/>
        <w:rPr>
          <w:color w:val="auto"/>
          <w:sz w:val="22"/>
        </w:rPr>
      </w:pPr>
      <w:r>
        <w:rPr>
          <w:rFonts w:hint="eastAsia"/>
          <w:color w:val="auto"/>
          <w:sz w:val="22"/>
        </w:rPr>
        <w:t>（2）暂估价：无</w:t>
      </w:r>
    </w:p>
    <w:p w14:paraId="0A3F0D3D">
      <w:pPr>
        <w:spacing w:line="360" w:lineRule="auto"/>
        <w:rPr>
          <w:color w:val="auto"/>
          <w:sz w:val="28"/>
          <w:szCs w:val="28"/>
        </w:rPr>
      </w:pPr>
      <w:r>
        <w:rPr>
          <w:rFonts w:hint="eastAsia"/>
          <w:color w:val="auto"/>
          <w:sz w:val="28"/>
          <w:szCs w:val="28"/>
        </w:rPr>
        <w:t>五、图纸及工程量计算中的相关说明</w:t>
      </w:r>
    </w:p>
    <w:p w14:paraId="3F9796B5">
      <w:pPr>
        <w:spacing w:line="360" w:lineRule="auto"/>
        <w:ind w:firstLine="440" w:firstLineChars="200"/>
        <w:rPr>
          <w:color w:val="auto"/>
          <w:sz w:val="22"/>
        </w:rPr>
      </w:pPr>
      <w:r>
        <w:rPr>
          <w:rFonts w:hint="eastAsia"/>
          <w:color w:val="auto"/>
          <w:sz w:val="22"/>
        </w:rPr>
        <w:t>1、通用部分</w:t>
      </w:r>
    </w:p>
    <w:p w14:paraId="5187681A">
      <w:pPr>
        <w:spacing w:line="360" w:lineRule="auto"/>
        <w:ind w:firstLine="440" w:firstLineChars="200"/>
        <w:rPr>
          <w:color w:val="auto"/>
          <w:sz w:val="22"/>
        </w:rPr>
      </w:pPr>
      <w:r>
        <w:rPr>
          <w:rFonts w:hint="eastAsia"/>
          <w:color w:val="auto"/>
          <w:sz w:val="22"/>
        </w:rPr>
        <w:t>（</w:t>
      </w:r>
      <w:r>
        <w:rPr>
          <w:rFonts w:hint="eastAsia"/>
          <w:color w:val="auto"/>
          <w:sz w:val="22"/>
          <w:lang w:val="en-US" w:eastAsia="zh-CN"/>
        </w:rPr>
        <w:t>1</w:t>
      </w:r>
      <w:r>
        <w:rPr>
          <w:rFonts w:hint="eastAsia"/>
          <w:color w:val="auto"/>
          <w:sz w:val="22"/>
        </w:rPr>
        <w:t>）本工程所需报验、报检费用甲方不予承担，投标人自行考虑计入投标报价；</w:t>
      </w:r>
    </w:p>
    <w:p w14:paraId="7845BC26">
      <w:pPr>
        <w:spacing w:line="360" w:lineRule="auto"/>
        <w:ind w:firstLine="440" w:firstLineChars="200"/>
        <w:rPr>
          <w:color w:val="auto"/>
          <w:sz w:val="22"/>
        </w:rPr>
      </w:pPr>
      <w:r>
        <w:rPr>
          <w:rFonts w:hint="eastAsia"/>
          <w:color w:val="auto"/>
          <w:sz w:val="22"/>
        </w:rPr>
        <w:t>（</w:t>
      </w:r>
      <w:r>
        <w:rPr>
          <w:rFonts w:hint="eastAsia"/>
          <w:color w:val="auto"/>
          <w:sz w:val="22"/>
          <w:lang w:val="en-US" w:eastAsia="zh-CN"/>
        </w:rPr>
        <w:t>2</w:t>
      </w:r>
      <w:r>
        <w:rPr>
          <w:rFonts w:hint="eastAsia"/>
          <w:color w:val="auto"/>
          <w:sz w:val="22"/>
        </w:rPr>
        <w:t>）措施费项目投标单位可自行增添内容，自行报价，未计放部分按优惠考虑，结算时不再调整，投标人在报价中应充分考虑所涉及的各项措施费及风险因素后再进行报价，不可竞争费按规定报价；</w:t>
      </w:r>
    </w:p>
    <w:p w14:paraId="239B0F35">
      <w:pPr>
        <w:spacing w:line="360" w:lineRule="auto"/>
        <w:ind w:firstLine="440" w:firstLineChars="200"/>
        <w:rPr>
          <w:color w:val="auto"/>
          <w:sz w:val="22"/>
        </w:rPr>
      </w:pPr>
      <w:r>
        <w:rPr>
          <w:rFonts w:hint="eastAsia"/>
          <w:color w:val="auto"/>
          <w:sz w:val="22"/>
        </w:rPr>
        <w:t>（</w:t>
      </w:r>
      <w:r>
        <w:rPr>
          <w:rFonts w:hint="eastAsia"/>
          <w:color w:val="auto"/>
          <w:sz w:val="22"/>
          <w:lang w:val="en-US" w:eastAsia="zh-CN"/>
        </w:rPr>
        <w:t>3</w:t>
      </w:r>
      <w:r>
        <w:rPr>
          <w:rFonts w:hint="eastAsia"/>
          <w:color w:val="auto"/>
          <w:sz w:val="22"/>
        </w:rPr>
        <w:t>）施工现场、交通运输情况及自然地理条件由投标人自行现场勘察，应充分考虑本工程场地现状的特点，可能对工程施工造成的影响并由此增加的费用等，做出考量一并考虑在投标报价中；</w:t>
      </w:r>
    </w:p>
    <w:p w14:paraId="3198A64C">
      <w:pPr>
        <w:spacing w:line="360" w:lineRule="auto"/>
        <w:ind w:firstLine="440" w:firstLineChars="200"/>
        <w:rPr>
          <w:color w:val="auto"/>
          <w:sz w:val="22"/>
        </w:rPr>
      </w:pPr>
      <w:r>
        <w:rPr>
          <w:rFonts w:hint="eastAsia"/>
          <w:color w:val="auto"/>
          <w:sz w:val="22"/>
        </w:rPr>
        <w:t>（</w:t>
      </w:r>
      <w:r>
        <w:rPr>
          <w:rFonts w:hint="eastAsia"/>
          <w:color w:val="auto"/>
          <w:sz w:val="22"/>
          <w:lang w:val="en-US" w:eastAsia="zh-CN"/>
        </w:rPr>
        <w:t>4</w:t>
      </w:r>
      <w:r>
        <w:rPr>
          <w:rFonts w:hint="eastAsia"/>
          <w:color w:val="auto"/>
          <w:sz w:val="22"/>
        </w:rPr>
        <w:t>）清单中项目特征描述不详处，以图纸为准，投标报价时应考虑图纸所示施工要求等一切费用；</w:t>
      </w:r>
    </w:p>
    <w:p w14:paraId="55E64029">
      <w:pPr>
        <w:spacing w:line="360" w:lineRule="auto"/>
        <w:ind w:firstLine="440" w:firstLineChars="200"/>
        <w:rPr>
          <w:rFonts w:hint="eastAsia"/>
          <w:color w:val="auto"/>
          <w:sz w:val="22"/>
        </w:rPr>
      </w:pPr>
      <w:r>
        <w:rPr>
          <w:rFonts w:hint="eastAsia"/>
          <w:color w:val="auto"/>
          <w:sz w:val="22"/>
        </w:rPr>
        <w:t>（</w:t>
      </w:r>
      <w:r>
        <w:rPr>
          <w:rFonts w:hint="eastAsia"/>
          <w:color w:val="auto"/>
          <w:sz w:val="22"/>
          <w:lang w:val="en-US" w:eastAsia="zh-CN"/>
        </w:rPr>
        <w:t>5</w:t>
      </w:r>
      <w:r>
        <w:rPr>
          <w:rFonts w:hint="eastAsia"/>
          <w:color w:val="auto"/>
          <w:sz w:val="22"/>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14:paraId="7BCA17DD">
      <w:pPr>
        <w:pStyle w:val="2"/>
        <w:ind w:left="0" w:leftChars="0" w:firstLine="440" w:firstLineChars="200"/>
        <w:rPr>
          <w:rFonts w:hint="eastAsia"/>
          <w:sz w:val="22"/>
          <w:highlight w:val="none"/>
          <w:lang w:val="en-US" w:eastAsia="zh-CN"/>
        </w:rPr>
      </w:pPr>
      <w:r>
        <w:rPr>
          <w:rFonts w:hint="eastAsia"/>
          <w:sz w:val="22"/>
          <w:highlight w:val="none"/>
          <w:lang w:val="en-US" w:eastAsia="zh-CN"/>
        </w:rPr>
        <w:t>2、</w:t>
      </w:r>
      <w:r>
        <w:rPr>
          <w:rFonts w:hint="eastAsia"/>
          <w:color w:val="auto"/>
          <w:sz w:val="22"/>
          <w:lang w:val="en-US" w:eastAsia="zh-CN"/>
        </w:rPr>
        <w:t>南京大学仙林校区宿舍楼1~5#屋顶桥架出新</w:t>
      </w:r>
      <w:r>
        <w:rPr>
          <w:rFonts w:hint="eastAsia"/>
          <w:color w:val="auto"/>
          <w:sz w:val="22"/>
          <w:lang w:eastAsia="zh-CN"/>
        </w:rPr>
        <w:t>工程</w:t>
      </w:r>
    </w:p>
    <w:p w14:paraId="48B69D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highlight w:val="none"/>
          <w:lang w:val="en-US" w:eastAsia="zh-CN"/>
        </w:rPr>
      </w:pPr>
      <w:r>
        <w:rPr>
          <w:rFonts w:hint="eastAsia"/>
          <w:sz w:val="22"/>
          <w:highlight w:val="none"/>
          <w:lang w:val="en-US" w:eastAsia="zh-CN"/>
        </w:rPr>
        <w:t xml:space="preserve">    （1）屋顶桥架出新工程，投标根据现场实际综合报价。</w:t>
      </w:r>
    </w:p>
    <w:p w14:paraId="2FF4429A">
      <w:pPr>
        <w:pStyle w:val="8"/>
        <w:spacing w:line="360" w:lineRule="auto"/>
        <w:rPr>
          <w:color w:val="auto"/>
          <w:sz w:val="28"/>
          <w:szCs w:val="28"/>
        </w:rPr>
      </w:pPr>
      <w:r>
        <w:rPr>
          <w:rFonts w:hint="eastAsia"/>
          <w:color w:val="auto"/>
          <w:sz w:val="28"/>
          <w:szCs w:val="28"/>
        </w:rPr>
        <w:t>六、主要材料设备</w:t>
      </w:r>
    </w:p>
    <w:p w14:paraId="49BECA4B">
      <w:pPr>
        <w:spacing w:line="360" w:lineRule="auto"/>
        <w:rPr>
          <w:color w:val="auto"/>
          <w:sz w:val="22"/>
        </w:rPr>
      </w:pPr>
      <w:r>
        <w:rPr>
          <w:rFonts w:hint="eastAsia"/>
          <w:color w:val="auto"/>
          <w:sz w:val="22"/>
        </w:rPr>
        <w:t>（一）投标人负责采购的主要材料设备</w:t>
      </w:r>
    </w:p>
    <w:p w14:paraId="6DD9F46F">
      <w:pPr>
        <w:spacing w:line="360" w:lineRule="auto"/>
        <w:ind w:firstLine="440" w:firstLineChars="200"/>
        <w:rPr>
          <w:rFonts w:hint="eastAsia"/>
          <w:color w:val="auto"/>
          <w:sz w:val="22"/>
        </w:rPr>
      </w:pPr>
      <w:r>
        <w:rPr>
          <w:rFonts w:hint="eastAsia"/>
          <w:color w:val="auto"/>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14:paraId="11A1C070">
      <w:pPr>
        <w:numPr>
          <w:ilvl w:val="0"/>
          <w:numId w:val="1"/>
        </w:numPr>
        <w:spacing w:line="360" w:lineRule="auto"/>
        <w:rPr>
          <w:rFonts w:hint="eastAsia"/>
          <w:color w:val="auto"/>
          <w:sz w:val="22"/>
        </w:rPr>
      </w:pPr>
      <w:r>
        <w:rPr>
          <w:rFonts w:hint="eastAsia"/>
          <w:color w:val="auto"/>
          <w:sz w:val="22"/>
        </w:rPr>
        <w:t>主要材料品牌推荐表如下：</w:t>
      </w:r>
    </w:p>
    <w:p w14:paraId="38424A82">
      <w:pPr>
        <w:pStyle w:val="2"/>
        <w:numPr>
          <w:numId w:val="0"/>
        </w:numPr>
        <w:ind w:leftChars="400"/>
      </w:pPr>
    </w:p>
    <w:tbl>
      <w:tblPr>
        <w:tblStyle w:val="10"/>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835"/>
        <w:gridCol w:w="1785"/>
        <w:gridCol w:w="3150"/>
      </w:tblGrid>
      <w:tr w14:paraId="40CDE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59" w:type="dxa"/>
            <w:tcBorders>
              <w:tl2br w:val="nil"/>
              <w:tr2bl w:val="nil"/>
            </w:tcBorders>
            <w:noWrap w:val="0"/>
            <w:vAlign w:val="center"/>
          </w:tcPr>
          <w:p w14:paraId="0D30796B">
            <w:pPr>
              <w:spacing w:line="360" w:lineRule="auto"/>
              <w:jc w:val="center"/>
              <w:rPr>
                <w:rFonts w:hint="eastAsia"/>
                <w:sz w:val="22"/>
                <w:vertAlign w:val="baseline"/>
                <w:lang w:val="en-US" w:eastAsia="zh-CN"/>
              </w:rPr>
            </w:pPr>
            <w:r>
              <w:rPr>
                <w:rFonts w:hint="eastAsia"/>
                <w:sz w:val="22"/>
                <w:vertAlign w:val="baseline"/>
                <w:lang w:val="en-US" w:eastAsia="zh-CN"/>
              </w:rPr>
              <w:t>序号</w:t>
            </w:r>
          </w:p>
        </w:tc>
        <w:tc>
          <w:tcPr>
            <w:tcW w:w="2835" w:type="dxa"/>
            <w:tcBorders>
              <w:tl2br w:val="nil"/>
              <w:tr2bl w:val="nil"/>
            </w:tcBorders>
            <w:noWrap w:val="0"/>
            <w:vAlign w:val="center"/>
          </w:tcPr>
          <w:p w14:paraId="6BCE2A04">
            <w:pPr>
              <w:spacing w:line="360" w:lineRule="auto"/>
              <w:jc w:val="center"/>
              <w:rPr>
                <w:rFonts w:hint="eastAsia"/>
                <w:sz w:val="22"/>
                <w:vertAlign w:val="baseline"/>
                <w:lang w:val="en-US" w:eastAsia="zh-CN"/>
              </w:rPr>
            </w:pPr>
            <w:r>
              <w:rPr>
                <w:rFonts w:hint="eastAsia"/>
                <w:sz w:val="22"/>
                <w:vertAlign w:val="baseline"/>
                <w:lang w:val="en-US" w:eastAsia="zh-CN"/>
              </w:rPr>
              <w:t>材料设备名称</w:t>
            </w:r>
          </w:p>
        </w:tc>
        <w:tc>
          <w:tcPr>
            <w:tcW w:w="1785" w:type="dxa"/>
            <w:tcBorders>
              <w:tl2br w:val="nil"/>
              <w:tr2bl w:val="nil"/>
            </w:tcBorders>
            <w:noWrap w:val="0"/>
            <w:vAlign w:val="center"/>
          </w:tcPr>
          <w:p w14:paraId="5A00D636">
            <w:pPr>
              <w:spacing w:line="360" w:lineRule="auto"/>
              <w:jc w:val="center"/>
              <w:rPr>
                <w:rFonts w:hint="eastAsia"/>
                <w:sz w:val="22"/>
                <w:vertAlign w:val="baseline"/>
                <w:lang w:val="en-US" w:eastAsia="zh-CN"/>
              </w:rPr>
            </w:pPr>
            <w:r>
              <w:rPr>
                <w:rFonts w:hint="eastAsia"/>
                <w:sz w:val="22"/>
                <w:vertAlign w:val="baseline"/>
                <w:lang w:val="en-US" w:eastAsia="zh-CN"/>
              </w:rPr>
              <w:t>可选品牌、系列、型号</w:t>
            </w:r>
          </w:p>
        </w:tc>
        <w:tc>
          <w:tcPr>
            <w:tcW w:w="3150" w:type="dxa"/>
            <w:tcBorders>
              <w:tl2br w:val="nil"/>
              <w:tr2bl w:val="nil"/>
            </w:tcBorders>
            <w:noWrap w:val="0"/>
            <w:vAlign w:val="center"/>
          </w:tcPr>
          <w:p w14:paraId="124C92DB">
            <w:pPr>
              <w:spacing w:line="360" w:lineRule="auto"/>
              <w:jc w:val="center"/>
              <w:rPr>
                <w:rFonts w:hint="default"/>
                <w:sz w:val="22"/>
                <w:vertAlign w:val="baseline"/>
                <w:lang w:val="en-US" w:eastAsia="zh-CN"/>
              </w:rPr>
            </w:pPr>
            <w:r>
              <w:rPr>
                <w:rFonts w:hint="eastAsia"/>
                <w:sz w:val="22"/>
                <w:vertAlign w:val="baseline"/>
                <w:lang w:val="en-US" w:eastAsia="zh-CN"/>
              </w:rPr>
              <w:t>生产商全称</w:t>
            </w:r>
          </w:p>
        </w:tc>
      </w:tr>
      <w:tr w14:paraId="5C60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759" w:type="dxa"/>
            <w:vMerge w:val="restart"/>
            <w:tcBorders>
              <w:tl2br w:val="nil"/>
              <w:tr2bl w:val="nil"/>
            </w:tcBorders>
            <w:noWrap w:val="0"/>
            <w:vAlign w:val="center"/>
          </w:tcPr>
          <w:p w14:paraId="0C99B0DF">
            <w:pPr>
              <w:spacing w:line="360" w:lineRule="auto"/>
              <w:jc w:val="center"/>
              <w:rPr>
                <w:rFonts w:hint="eastAsia"/>
                <w:sz w:val="22"/>
                <w:vertAlign w:val="baseline"/>
                <w:lang w:val="en-US" w:eastAsia="zh-CN"/>
              </w:rPr>
            </w:pPr>
            <w:r>
              <w:rPr>
                <w:rFonts w:hint="eastAsia"/>
                <w:sz w:val="22"/>
                <w:vertAlign w:val="baseline"/>
                <w:lang w:val="en-US" w:eastAsia="zh-CN"/>
              </w:rPr>
              <w:t>1</w:t>
            </w:r>
          </w:p>
        </w:tc>
        <w:tc>
          <w:tcPr>
            <w:tcW w:w="2835" w:type="dxa"/>
            <w:vMerge w:val="restart"/>
            <w:tcBorders>
              <w:tl2br w:val="nil"/>
              <w:tr2bl w:val="nil"/>
            </w:tcBorders>
            <w:noWrap w:val="0"/>
            <w:vAlign w:val="center"/>
          </w:tcPr>
          <w:p w14:paraId="368B695E">
            <w:pPr>
              <w:spacing w:line="360" w:lineRule="auto"/>
              <w:jc w:val="center"/>
              <w:rPr>
                <w:rFonts w:hint="eastAsia"/>
                <w:sz w:val="22"/>
                <w:vertAlign w:val="baseline"/>
                <w:lang w:val="en-US" w:eastAsia="zh-CN"/>
              </w:rPr>
            </w:pPr>
            <w:r>
              <w:rPr>
                <w:rFonts w:hint="eastAsia"/>
                <w:sz w:val="22"/>
                <w:vertAlign w:val="baseline"/>
                <w:lang w:val="en-US" w:eastAsia="zh-CN"/>
              </w:rPr>
              <w:t>桥架</w:t>
            </w:r>
            <w:bookmarkStart w:id="0" w:name="_GoBack"/>
            <w:bookmarkEnd w:id="0"/>
          </w:p>
        </w:tc>
        <w:tc>
          <w:tcPr>
            <w:tcW w:w="1785" w:type="dxa"/>
            <w:tcBorders>
              <w:tl2br w:val="nil"/>
              <w:tr2bl w:val="nil"/>
            </w:tcBorders>
            <w:noWrap w:val="0"/>
            <w:vAlign w:val="center"/>
          </w:tcPr>
          <w:p w14:paraId="4B4D3F4D">
            <w:pPr>
              <w:spacing w:line="360" w:lineRule="auto"/>
              <w:jc w:val="center"/>
              <w:rPr>
                <w:rFonts w:hint="eastAsia"/>
                <w:sz w:val="22"/>
                <w:vertAlign w:val="baseline"/>
                <w:lang w:val="en-US" w:eastAsia="zh-CN"/>
              </w:rPr>
            </w:pPr>
            <w:r>
              <w:rPr>
                <w:rFonts w:hint="eastAsia"/>
                <w:b/>
                <w:bCs/>
                <w:sz w:val="22"/>
                <w:vertAlign w:val="baseline"/>
                <w:lang w:val="en-US" w:eastAsia="zh-CN"/>
              </w:rPr>
              <w:t>HP</w:t>
            </w:r>
          </w:p>
        </w:tc>
        <w:tc>
          <w:tcPr>
            <w:tcW w:w="3150" w:type="dxa"/>
            <w:tcBorders>
              <w:tl2br w:val="nil"/>
              <w:tr2bl w:val="nil"/>
            </w:tcBorders>
            <w:noWrap w:val="0"/>
            <w:vAlign w:val="center"/>
          </w:tcPr>
          <w:p w14:paraId="26F6BF8D">
            <w:pPr>
              <w:spacing w:line="360" w:lineRule="auto"/>
              <w:jc w:val="center"/>
              <w:rPr>
                <w:rFonts w:hint="eastAsia"/>
                <w:sz w:val="22"/>
                <w:vertAlign w:val="baseline"/>
                <w:lang w:val="en-US" w:eastAsia="zh-CN"/>
              </w:rPr>
            </w:pPr>
            <w:r>
              <w:rPr>
                <w:rFonts w:hint="eastAsia"/>
                <w:sz w:val="22"/>
                <w:vertAlign w:val="baseline"/>
                <w:lang w:val="en-US" w:eastAsia="zh-CN"/>
              </w:rPr>
              <w:t>华鹏集团有限公司</w:t>
            </w:r>
          </w:p>
        </w:tc>
      </w:tr>
      <w:tr w14:paraId="1FC7C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59" w:type="dxa"/>
            <w:vMerge w:val="continue"/>
            <w:tcBorders>
              <w:tl2br w:val="nil"/>
              <w:tr2bl w:val="nil"/>
            </w:tcBorders>
            <w:noWrap w:val="0"/>
            <w:vAlign w:val="center"/>
          </w:tcPr>
          <w:p w14:paraId="6D6C2109">
            <w:pPr>
              <w:spacing w:line="360" w:lineRule="auto"/>
              <w:jc w:val="center"/>
              <w:rPr>
                <w:rFonts w:hint="eastAsia"/>
                <w:sz w:val="22"/>
                <w:vertAlign w:val="baseline"/>
                <w:lang w:val="en-US" w:eastAsia="zh-CN"/>
              </w:rPr>
            </w:pPr>
          </w:p>
        </w:tc>
        <w:tc>
          <w:tcPr>
            <w:tcW w:w="2835" w:type="dxa"/>
            <w:vMerge w:val="continue"/>
            <w:tcBorders>
              <w:tl2br w:val="nil"/>
              <w:tr2bl w:val="nil"/>
            </w:tcBorders>
            <w:noWrap w:val="0"/>
            <w:vAlign w:val="center"/>
          </w:tcPr>
          <w:p w14:paraId="6C8548CE">
            <w:pPr>
              <w:spacing w:line="360" w:lineRule="auto"/>
              <w:jc w:val="center"/>
              <w:rPr>
                <w:rFonts w:hint="eastAsia"/>
                <w:sz w:val="22"/>
                <w:vertAlign w:val="baseline"/>
                <w:lang w:val="en-US" w:eastAsia="zh-CN"/>
              </w:rPr>
            </w:pPr>
          </w:p>
        </w:tc>
        <w:tc>
          <w:tcPr>
            <w:tcW w:w="1785" w:type="dxa"/>
            <w:tcBorders>
              <w:tl2br w:val="nil"/>
              <w:tr2bl w:val="nil"/>
            </w:tcBorders>
            <w:noWrap w:val="0"/>
            <w:vAlign w:val="center"/>
          </w:tcPr>
          <w:p w14:paraId="1C604E4C">
            <w:pPr>
              <w:spacing w:line="360" w:lineRule="auto"/>
              <w:jc w:val="center"/>
              <w:rPr>
                <w:rFonts w:hint="eastAsia"/>
                <w:sz w:val="22"/>
                <w:vertAlign w:val="baseline"/>
                <w:lang w:val="en-US" w:eastAsia="zh-CN"/>
              </w:rPr>
            </w:pPr>
            <w:r>
              <w:rPr>
                <w:rFonts w:hint="eastAsia"/>
                <w:sz w:val="22"/>
                <w:vertAlign w:val="baseline"/>
                <w:lang w:val="en-US" w:eastAsia="zh-CN"/>
              </w:rPr>
              <w:t>友得</w:t>
            </w:r>
          </w:p>
        </w:tc>
        <w:tc>
          <w:tcPr>
            <w:tcW w:w="3150" w:type="dxa"/>
            <w:tcBorders>
              <w:tl2br w:val="nil"/>
              <w:tr2bl w:val="nil"/>
            </w:tcBorders>
            <w:noWrap w:val="0"/>
            <w:vAlign w:val="center"/>
          </w:tcPr>
          <w:p w14:paraId="6BF6DC46">
            <w:pPr>
              <w:spacing w:line="360" w:lineRule="auto"/>
              <w:jc w:val="center"/>
              <w:rPr>
                <w:rFonts w:hint="eastAsia"/>
                <w:sz w:val="22"/>
                <w:vertAlign w:val="baseline"/>
                <w:lang w:val="en-US" w:eastAsia="zh-CN"/>
              </w:rPr>
            </w:pPr>
            <w:r>
              <w:rPr>
                <w:rFonts w:hint="eastAsia"/>
                <w:sz w:val="22"/>
                <w:vertAlign w:val="baseline"/>
                <w:lang w:val="en-US" w:eastAsia="zh-CN"/>
              </w:rPr>
              <w:t>扬中市长江电器设备厂有限公司</w:t>
            </w:r>
          </w:p>
        </w:tc>
      </w:tr>
      <w:tr w14:paraId="06B9F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759" w:type="dxa"/>
            <w:vMerge w:val="continue"/>
            <w:tcBorders>
              <w:tl2br w:val="nil"/>
              <w:tr2bl w:val="nil"/>
            </w:tcBorders>
            <w:noWrap w:val="0"/>
            <w:vAlign w:val="center"/>
          </w:tcPr>
          <w:p w14:paraId="1D25D1AB">
            <w:pPr>
              <w:spacing w:line="360" w:lineRule="auto"/>
              <w:jc w:val="center"/>
              <w:rPr>
                <w:rFonts w:hint="eastAsia"/>
                <w:sz w:val="22"/>
                <w:vertAlign w:val="baseline"/>
                <w:lang w:val="en-US" w:eastAsia="zh-CN"/>
              </w:rPr>
            </w:pPr>
          </w:p>
        </w:tc>
        <w:tc>
          <w:tcPr>
            <w:tcW w:w="2835" w:type="dxa"/>
            <w:vMerge w:val="continue"/>
            <w:tcBorders>
              <w:tl2br w:val="nil"/>
              <w:tr2bl w:val="nil"/>
            </w:tcBorders>
            <w:noWrap w:val="0"/>
            <w:vAlign w:val="center"/>
          </w:tcPr>
          <w:p w14:paraId="415D6F5C">
            <w:pPr>
              <w:spacing w:line="360" w:lineRule="auto"/>
              <w:jc w:val="center"/>
              <w:rPr>
                <w:rFonts w:hint="eastAsia"/>
                <w:sz w:val="22"/>
                <w:vertAlign w:val="baseline"/>
                <w:lang w:val="en-US" w:eastAsia="zh-CN"/>
              </w:rPr>
            </w:pPr>
          </w:p>
        </w:tc>
        <w:tc>
          <w:tcPr>
            <w:tcW w:w="1785" w:type="dxa"/>
            <w:tcBorders>
              <w:tl2br w:val="nil"/>
              <w:tr2bl w:val="nil"/>
            </w:tcBorders>
            <w:noWrap w:val="0"/>
            <w:vAlign w:val="center"/>
          </w:tcPr>
          <w:p w14:paraId="76EE25D1">
            <w:pPr>
              <w:spacing w:line="360" w:lineRule="auto"/>
              <w:jc w:val="center"/>
              <w:rPr>
                <w:rFonts w:hint="eastAsia"/>
                <w:sz w:val="22"/>
                <w:vertAlign w:val="baseline"/>
                <w:lang w:val="en-US" w:eastAsia="zh-CN"/>
              </w:rPr>
            </w:pPr>
            <w:r>
              <w:rPr>
                <w:rFonts w:hint="eastAsia"/>
                <w:sz w:val="22"/>
                <w:vertAlign w:val="baseline"/>
                <w:lang w:val="en-US" w:eastAsia="zh-CN"/>
              </w:rPr>
              <w:t>CKNJLL</w:t>
            </w:r>
          </w:p>
        </w:tc>
        <w:tc>
          <w:tcPr>
            <w:tcW w:w="3150" w:type="dxa"/>
            <w:tcBorders>
              <w:tl2br w:val="nil"/>
              <w:tr2bl w:val="nil"/>
            </w:tcBorders>
            <w:noWrap w:val="0"/>
            <w:vAlign w:val="center"/>
          </w:tcPr>
          <w:p w14:paraId="142C6D83">
            <w:pPr>
              <w:spacing w:line="360" w:lineRule="auto"/>
              <w:jc w:val="center"/>
              <w:rPr>
                <w:rFonts w:hint="eastAsia"/>
                <w:sz w:val="22"/>
                <w:vertAlign w:val="baseline"/>
                <w:lang w:val="en-US" w:eastAsia="zh-CN"/>
              </w:rPr>
            </w:pPr>
            <w:r>
              <w:rPr>
                <w:rFonts w:hint="eastAsia"/>
                <w:sz w:val="22"/>
                <w:vertAlign w:val="baseline"/>
                <w:lang w:val="en-US" w:eastAsia="zh-CN"/>
              </w:rPr>
              <w:t>南京常开电气有限公司</w:t>
            </w:r>
          </w:p>
        </w:tc>
      </w:tr>
      <w:tr w14:paraId="1EBF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759" w:type="dxa"/>
            <w:vMerge w:val="continue"/>
            <w:tcBorders>
              <w:tl2br w:val="nil"/>
              <w:tr2bl w:val="nil"/>
            </w:tcBorders>
            <w:noWrap w:val="0"/>
            <w:vAlign w:val="center"/>
          </w:tcPr>
          <w:p w14:paraId="0CCD98C8">
            <w:pPr>
              <w:spacing w:line="360" w:lineRule="auto"/>
              <w:jc w:val="center"/>
              <w:rPr>
                <w:rFonts w:hint="eastAsia"/>
                <w:sz w:val="22"/>
                <w:vertAlign w:val="baseline"/>
                <w:lang w:val="en-US" w:eastAsia="zh-CN"/>
              </w:rPr>
            </w:pPr>
          </w:p>
        </w:tc>
        <w:tc>
          <w:tcPr>
            <w:tcW w:w="2835" w:type="dxa"/>
            <w:vMerge w:val="continue"/>
            <w:tcBorders>
              <w:tl2br w:val="nil"/>
              <w:tr2bl w:val="nil"/>
            </w:tcBorders>
            <w:noWrap w:val="0"/>
            <w:vAlign w:val="center"/>
          </w:tcPr>
          <w:p w14:paraId="0CF52CE0">
            <w:pPr>
              <w:spacing w:line="360" w:lineRule="auto"/>
              <w:jc w:val="center"/>
              <w:rPr>
                <w:rFonts w:hint="eastAsia"/>
                <w:sz w:val="22"/>
                <w:vertAlign w:val="baseline"/>
                <w:lang w:val="en-US" w:eastAsia="zh-CN"/>
              </w:rPr>
            </w:pPr>
          </w:p>
        </w:tc>
        <w:tc>
          <w:tcPr>
            <w:tcW w:w="1785" w:type="dxa"/>
            <w:tcBorders>
              <w:tl2br w:val="nil"/>
              <w:tr2bl w:val="nil"/>
            </w:tcBorders>
            <w:noWrap w:val="0"/>
            <w:vAlign w:val="center"/>
          </w:tcPr>
          <w:p w14:paraId="679A36BC">
            <w:pPr>
              <w:spacing w:line="360" w:lineRule="auto"/>
              <w:jc w:val="center"/>
              <w:rPr>
                <w:rFonts w:hint="eastAsia"/>
                <w:sz w:val="22"/>
                <w:vertAlign w:val="baseline"/>
                <w:lang w:val="en-US" w:eastAsia="zh-CN"/>
              </w:rPr>
            </w:pPr>
            <w:r>
              <w:rPr>
                <w:rFonts w:hint="eastAsia"/>
              </w:rPr>
              <w:t>CHKO</w:t>
            </w:r>
          </w:p>
        </w:tc>
        <w:tc>
          <w:tcPr>
            <w:tcW w:w="3150" w:type="dxa"/>
            <w:tcBorders>
              <w:tl2br w:val="nil"/>
              <w:tr2bl w:val="nil"/>
            </w:tcBorders>
            <w:noWrap w:val="0"/>
            <w:vAlign w:val="center"/>
          </w:tcPr>
          <w:p w14:paraId="43005544">
            <w:pPr>
              <w:spacing w:line="360" w:lineRule="auto"/>
              <w:jc w:val="center"/>
              <w:rPr>
                <w:rFonts w:hint="eastAsia"/>
                <w:sz w:val="22"/>
                <w:vertAlign w:val="baseline"/>
                <w:lang w:val="en-US" w:eastAsia="zh-CN"/>
              </w:rPr>
            </w:pPr>
            <w:r>
              <w:rPr>
                <w:rFonts w:hint="eastAsia"/>
                <w:sz w:val="22"/>
                <w:vertAlign w:val="baseline"/>
                <w:lang w:val="en-US" w:eastAsia="zh-CN"/>
              </w:rPr>
              <w:t>长江电气集团股份有限公司</w:t>
            </w:r>
          </w:p>
        </w:tc>
      </w:tr>
    </w:tbl>
    <w:p w14:paraId="7EB61B79">
      <w:pPr>
        <w:numPr>
          <w:ilvl w:val="0"/>
          <w:numId w:val="0"/>
        </w:numPr>
        <w:spacing w:line="360" w:lineRule="auto"/>
        <w:rPr>
          <w:color w:val="auto"/>
        </w:rPr>
      </w:pPr>
    </w:p>
    <w:p w14:paraId="15333197">
      <w:pPr>
        <w:spacing w:line="360" w:lineRule="auto"/>
        <w:ind w:firstLine="440" w:firstLineChars="200"/>
        <w:rPr>
          <w:color w:val="auto"/>
          <w:sz w:val="22"/>
        </w:rPr>
      </w:pPr>
      <w:r>
        <w:rPr>
          <w:rFonts w:hint="eastAsia"/>
          <w:color w:val="auto"/>
          <w:sz w:val="22"/>
        </w:rPr>
        <w:t>2、主要材料技术标准和质量要求如下：</w:t>
      </w:r>
    </w:p>
    <w:p w14:paraId="5D2B4669">
      <w:pPr>
        <w:spacing w:line="360" w:lineRule="auto"/>
        <w:ind w:firstLine="440" w:firstLineChars="200"/>
        <w:rPr>
          <w:color w:val="auto"/>
          <w:sz w:val="22"/>
        </w:rPr>
      </w:pPr>
      <w:r>
        <w:rPr>
          <w:rFonts w:hint="eastAsia"/>
          <w:color w:val="auto"/>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266A30E0">
      <w:pPr>
        <w:spacing w:line="360" w:lineRule="auto"/>
        <w:ind w:firstLine="440" w:firstLineChars="200"/>
        <w:rPr>
          <w:color w:val="auto"/>
          <w:sz w:val="22"/>
        </w:rPr>
      </w:pPr>
      <w:r>
        <w:rPr>
          <w:rFonts w:hint="eastAsia"/>
          <w:color w:val="auto"/>
          <w:sz w:val="22"/>
        </w:rPr>
        <w:t>（二）招标人自行采购的主要材料设备：无</w:t>
      </w:r>
    </w:p>
    <w:p w14:paraId="7821CC67">
      <w:pPr>
        <w:spacing w:line="360" w:lineRule="auto"/>
        <w:rPr>
          <w:color w:val="auto"/>
          <w:sz w:val="28"/>
          <w:szCs w:val="28"/>
        </w:rPr>
      </w:pPr>
      <w:r>
        <w:rPr>
          <w:rFonts w:hint="eastAsia"/>
          <w:color w:val="auto"/>
          <w:sz w:val="28"/>
          <w:szCs w:val="28"/>
        </w:rPr>
        <w:t>七、其他说明</w:t>
      </w:r>
    </w:p>
    <w:p w14:paraId="2957E191">
      <w:pPr>
        <w:spacing w:line="360" w:lineRule="auto"/>
        <w:ind w:firstLine="440" w:firstLineChars="200"/>
        <w:rPr>
          <w:color w:val="auto"/>
          <w:sz w:val="22"/>
        </w:rPr>
      </w:pPr>
      <w:r>
        <w:rPr>
          <w:rFonts w:hint="eastAsia"/>
          <w:color w:val="auto"/>
          <w:sz w:val="22"/>
        </w:rPr>
        <w:t>1、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14:paraId="6C1392F3">
      <w:pPr>
        <w:spacing w:line="360" w:lineRule="auto"/>
        <w:ind w:firstLine="440" w:firstLineChars="200"/>
        <w:rPr>
          <w:color w:val="auto"/>
          <w:sz w:val="22"/>
        </w:rPr>
      </w:pPr>
      <w:r>
        <w:rPr>
          <w:rFonts w:hint="eastAsia"/>
          <w:color w:val="auto"/>
          <w:sz w:val="22"/>
        </w:rPr>
        <w:t>2、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p w14:paraId="1DDB176D">
      <w:pPr>
        <w:spacing w:line="360" w:lineRule="auto"/>
        <w:ind w:firstLine="440" w:firstLineChars="200"/>
        <w:rPr>
          <w:color w:val="auto"/>
          <w:sz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EE09D1"/>
    <w:multiLevelType w:val="singleLevel"/>
    <w:tmpl w:val="0EEE09D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zZWQ3OTZlYWIxOTMyMDg2YTkzMzhlMTI3YjI1ZWQifQ=="/>
  </w:docVars>
  <w:rsids>
    <w:rsidRoot w:val="007216EE"/>
    <w:rsid w:val="000918CE"/>
    <w:rsid w:val="000B4442"/>
    <w:rsid w:val="000E4EFC"/>
    <w:rsid w:val="000F0F71"/>
    <w:rsid w:val="00102D4A"/>
    <w:rsid w:val="00110532"/>
    <w:rsid w:val="001918E0"/>
    <w:rsid w:val="002365A9"/>
    <w:rsid w:val="002C7843"/>
    <w:rsid w:val="002F4B81"/>
    <w:rsid w:val="003338F0"/>
    <w:rsid w:val="0035412E"/>
    <w:rsid w:val="00365827"/>
    <w:rsid w:val="00394EF6"/>
    <w:rsid w:val="003E6A22"/>
    <w:rsid w:val="00403F89"/>
    <w:rsid w:val="004272E3"/>
    <w:rsid w:val="00480D2C"/>
    <w:rsid w:val="004D0895"/>
    <w:rsid w:val="005136AA"/>
    <w:rsid w:val="0052678C"/>
    <w:rsid w:val="00531B35"/>
    <w:rsid w:val="00591850"/>
    <w:rsid w:val="005A65A1"/>
    <w:rsid w:val="005C1C94"/>
    <w:rsid w:val="00640023"/>
    <w:rsid w:val="0064358A"/>
    <w:rsid w:val="006C1D24"/>
    <w:rsid w:val="0070784C"/>
    <w:rsid w:val="007216EE"/>
    <w:rsid w:val="007E10E0"/>
    <w:rsid w:val="00813A6E"/>
    <w:rsid w:val="00847CE5"/>
    <w:rsid w:val="00864452"/>
    <w:rsid w:val="00876B6F"/>
    <w:rsid w:val="00917415"/>
    <w:rsid w:val="00934BB6"/>
    <w:rsid w:val="00955791"/>
    <w:rsid w:val="00965503"/>
    <w:rsid w:val="009E6462"/>
    <w:rsid w:val="00AA5070"/>
    <w:rsid w:val="00AD1268"/>
    <w:rsid w:val="00AE6169"/>
    <w:rsid w:val="00AF3547"/>
    <w:rsid w:val="00AF7501"/>
    <w:rsid w:val="00BE4A0B"/>
    <w:rsid w:val="00BF0684"/>
    <w:rsid w:val="00C30855"/>
    <w:rsid w:val="00D33569"/>
    <w:rsid w:val="00D3387F"/>
    <w:rsid w:val="00D77557"/>
    <w:rsid w:val="00D92B20"/>
    <w:rsid w:val="00EE0655"/>
    <w:rsid w:val="00EF2517"/>
    <w:rsid w:val="00F54A72"/>
    <w:rsid w:val="02077C66"/>
    <w:rsid w:val="082223BA"/>
    <w:rsid w:val="09DF45AE"/>
    <w:rsid w:val="09E55D95"/>
    <w:rsid w:val="0B3A0491"/>
    <w:rsid w:val="0C1D1FB3"/>
    <w:rsid w:val="0CD25690"/>
    <w:rsid w:val="0D372C49"/>
    <w:rsid w:val="0E1E66BB"/>
    <w:rsid w:val="0F2E5AE8"/>
    <w:rsid w:val="23B85E33"/>
    <w:rsid w:val="27BF25CB"/>
    <w:rsid w:val="282A4255"/>
    <w:rsid w:val="295E4DC4"/>
    <w:rsid w:val="2F3B676E"/>
    <w:rsid w:val="30151978"/>
    <w:rsid w:val="3139554D"/>
    <w:rsid w:val="32F43989"/>
    <w:rsid w:val="38867F93"/>
    <w:rsid w:val="3CBC68FF"/>
    <w:rsid w:val="3D323D5B"/>
    <w:rsid w:val="40561BF3"/>
    <w:rsid w:val="4459166C"/>
    <w:rsid w:val="44BA6EFA"/>
    <w:rsid w:val="46F83177"/>
    <w:rsid w:val="4CEE1E37"/>
    <w:rsid w:val="4E6A3765"/>
    <w:rsid w:val="4FCE10C8"/>
    <w:rsid w:val="50490DAD"/>
    <w:rsid w:val="579655A5"/>
    <w:rsid w:val="58242BB1"/>
    <w:rsid w:val="5D2C4A04"/>
    <w:rsid w:val="6284134B"/>
    <w:rsid w:val="63BC45E5"/>
    <w:rsid w:val="65ED4F2A"/>
    <w:rsid w:val="665A4ADF"/>
    <w:rsid w:val="69B47B0D"/>
    <w:rsid w:val="6BEA533D"/>
    <w:rsid w:val="6FF62C2D"/>
    <w:rsid w:val="74B46AA2"/>
    <w:rsid w:val="76143E0D"/>
    <w:rsid w:val="762D4065"/>
    <w:rsid w:val="778A1A2B"/>
    <w:rsid w:val="77A318EC"/>
    <w:rsid w:val="77D608C0"/>
    <w:rsid w:val="792B6AB5"/>
    <w:rsid w:val="7C0A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2"/>
    <w:basedOn w:val="1"/>
    <w:next w:val="1"/>
    <w:link w:val="16"/>
    <w:autoRedefine/>
    <w:qFormat/>
    <w:uiPriority w:val="9"/>
    <w:pPr>
      <w:keepNext/>
      <w:keepLines/>
      <w:adjustRightInd w:val="0"/>
      <w:snapToGrid w:val="0"/>
      <w:spacing w:before="240" w:after="240"/>
      <w:ind w:right="-11"/>
      <w:jc w:val="center"/>
      <w:outlineLvl w:val="1"/>
    </w:pPr>
    <w:rPr>
      <w:rFonts w:ascii="Arial" w:hAnsi="Arial" w:eastAsia="宋体" w:cs="Times New Roman"/>
      <w:b/>
      <w:sz w:val="32"/>
      <w:szCs w:val="20"/>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0"/>
    <w:pPr>
      <w:snapToGrid w:val="0"/>
    </w:pPr>
    <w:rPr>
      <w:rFonts w:ascii="Arial" w:hAnsi="Arial"/>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table" w:styleId="11">
    <w:name w:val="Table Grid"/>
    <w:basedOn w:val="1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7"/>
    <w:autoRedefine/>
    <w:qFormat/>
    <w:uiPriority w:val="99"/>
    <w:rPr>
      <w:sz w:val="18"/>
      <w:szCs w:val="18"/>
    </w:rPr>
  </w:style>
  <w:style w:type="character" w:customStyle="1" w:styleId="14">
    <w:name w:val="页脚 字符"/>
    <w:basedOn w:val="12"/>
    <w:link w:val="6"/>
    <w:autoRedefine/>
    <w:qFormat/>
    <w:uiPriority w:val="99"/>
    <w:rPr>
      <w:sz w:val="18"/>
      <w:szCs w:val="18"/>
    </w:rPr>
  </w:style>
  <w:style w:type="character" w:customStyle="1" w:styleId="15">
    <w:name w:val="font11"/>
    <w:autoRedefine/>
    <w:qFormat/>
    <w:uiPriority w:val="0"/>
    <w:rPr>
      <w:rFonts w:ascii="宋体" w:hAnsi="宋体" w:eastAsia="宋体"/>
      <w:color w:val="000000"/>
      <w:sz w:val="20"/>
      <w:u w:val="none"/>
    </w:rPr>
  </w:style>
  <w:style w:type="character" w:customStyle="1" w:styleId="16">
    <w:name w:val="标题 2 字符"/>
    <w:basedOn w:val="12"/>
    <w:link w:val="5"/>
    <w:autoRedefine/>
    <w:qFormat/>
    <w:uiPriority w:val="9"/>
    <w:rPr>
      <w:rFonts w:ascii="Arial" w:hAnsi="Arial"/>
      <w:b/>
      <w:kern w:val="2"/>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2054</Words>
  <Characters>2126</Characters>
  <Lines>19</Lines>
  <Paragraphs>5</Paragraphs>
  <TotalTime>1</TotalTime>
  <ScaleCrop>false</ScaleCrop>
  <LinksUpToDate>false</LinksUpToDate>
  <CharactersWithSpaces>2135</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Leo Charles</cp:lastModifiedBy>
  <dcterms:modified xsi:type="dcterms:W3CDTF">2024-10-24T08:36:14Z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E3C2B9C1E6F54DD5B95E73433EAD629D_13</vt:lpwstr>
  </property>
</Properties>
</file>