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楷体" w:hAnsi="华文楷体" w:eastAsia="华文楷体" w:cs="华文楷体"/>
          <w:b/>
          <w:sz w:val="40"/>
          <w:szCs w:val="40"/>
        </w:rPr>
      </w:pPr>
      <w:r>
        <w:rPr>
          <w:rFonts w:hint="eastAsia" w:ascii="华文楷体" w:hAnsi="华文楷体" w:eastAsia="华文楷体" w:cs="华文楷体"/>
          <w:b/>
          <w:sz w:val="40"/>
          <w:szCs w:val="40"/>
        </w:rPr>
        <w:t>清单编制说明</w:t>
      </w:r>
    </w:p>
    <w:p>
      <w:pPr>
        <w:numPr>
          <w:ilvl w:val="0"/>
          <w:numId w:val="1"/>
        </w:numPr>
        <w:spacing w:line="360" w:lineRule="auto"/>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rPr>
        <w:t>工程概况</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rPr>
        <w:t>本项目为</w:t>
      </w:r>
      <w:r>
        <w:rPr>
          <w:rFonts w:hint="eastAsia" w:ascii="华文楷体" w:hAnsi="华文楷体" w:eastAsia="华文楷体" w:cs="华文楷体"/>
          <w:sz w:val="28"/>
          <w:szCs w:val="28"/>
          <w:lang w:val="en-US" w:eastAsia="zh-CN"/>
        </w:rPr>
        <w:t>南京大学仙林校区电子科学与工程学院防火窗更换工程</w:t>
      </w:r>
      <w:r>
        <w:rPr>
          <w:rFonts w:hint="eastAsia" w:ascii="华文楷体" w:hAnsi="华文楷体" w:eastAsia="华文楷体" w:cs="华文楷体"/>
          <w:sz w:val="28"/>
          <w:szCs w:val="28"/>
        </w:rPr>
        <w:t>，项目位于南京大学仙林校区，项目内容:</w:t>
      </w:r>
      <w:r>
        <w:rPr>
          <w:rFonts w:hint="eastAsia" w:ascii="华文楷体" w:hAnsi="华文楷体" w:eastAsia="华文楷体" w:cs="华文楷体"/>
          <w:sz w:val="28"/>
          <w:szCs w:val="28"/>
          <w:lang w:val="en-US" w:eastAsia="zh-CN"/>
        </w:rPr>
        <w:t>防火门、窗户等更换及其他零星项目修复</w:t>
      </w:r>
      <w:r>
        <w:rPr>
          <w:rFonts w:hint="eastAsia" w:ascii="华文楷体" w:hAnsi="华文楷体" w:eastAsia="华文楷体" w:cs="华文楷体"/>
          <w:sz w:val="28"/>
          <w:szCs w:val="28"/>
        </w:rPr>
        <w:t>等。</w:t>
      </w:r>
    </w:p>
    <w:p>
      <w:pPr>
        <w:numPr>
          <w:ilvl w:val="0"/>
          <w:numId w:val="2"/>
        </w:numPr>
        <w:spacing w:line="360" w:lineRule="auto"/>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rPr>
        <w:t>工程招标和分包范围</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rPr>
        <w:t>本项目招标范围：</w:t>
      </w:r>
      <w:r>
        <w:rPr>
          <w:rFonts w:hint="eastAsia" w:ascii="华文楷体" w:hAnsi="华文楷体" w:eastAsia="华文楷体" w:cs="华文楷体"/>
          <w:sz w:val="28"/>
          <w:szCs w:val="28"/>
          <w:lang w:val="en-US" w:eastAsia="zh-CN"/>
        </w:rPr>
        <w:t>清单</w:t>
      </w:r>
      <w:r>
        <w:rPr>
          <w:rFonts w:hint="eastAsia" w:ascii="华文楷体" w:hAnsi="华文楷体" w:eastAsia="华文楷体" w:cs="华文楷体"/>
          <w:sz w:val="28"/>
          <w:szCs w:val="28"/>
        </w:rPr>
        <w:t>范围内所有内容，本项目共一个标段，无其它专业分包项。</w:t>
      </w:r>
    </w:p>
    <w:p>
      <w:pPr>
        <w:spacing w:line="360" w:lineRule="auto"/>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rPr>
        <w:t>三、编制依据</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rPr>
        <w:t>1、</w:t>
      </w:r>
      <w:r>
        <w:rPr>
          <w:rFonts w:hint="eastAsia" w:ascii="华文楷体" w:hAnsi="华文楷体" w:eastAsia="华文楷体" w:cs="华文楷体"/>
          <w:sz w:val="28"/>
          <w:szCs w:val="28"/>
          <w:lang w:val="en-US" w:eastAsia="zh-CN"/>
        </w:rPr>
        <w:t>现场实际勘查</w:t>
      </w:r>
      <w:r>
        <w:rPr>
          <w:rFonts w:hint="eastAsia" w:ascii="华文楷体" w:hAnsi="华文楷体" w:eastAsia="华文楷体" w:cs="华文楷体"/>
          <w:sz w:val="28"/>
          <w:szCs w:val="28"/>
        </w:rPr>
        <w:t>。</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lang w:val="en-US" w:eastAsia="zh-CN"/>
        </w:rPr>
        <w:t>2</w:t>
      </w:r>
      <w:r>
        <w:rPr>
          <w:rFonts w:hint="eastAsia" w:ascii="华文楷体" w:hAnsi="华文楷体" w:eastAsia="华文楷体" w:cs="华文楷体"/>
          <w:sz w:val="28"/>
          <w:szCs w:val="28"/>
        </w:rPr>
        <w:t>、《省住房城乡建设厅关于&lt;建设工程工程量清单计价规范&gt;（GB50500—2013）及其9本工程量计算规范的贯彻意见》（苏建价〔2014〕448号）。</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lang w:val="en-US" w:eastAsia="zh-CN"/>
        </w:rPr>
        <w:t>3</w:t>
      </w:r>
      <w:r>
        <w:rPr>
          <w:rFonts w:hint="eastAsia" w:ascii="华文楷体" w:hAnsi="华文楷体" w:eastAsia="华文楷体" w:cs="华文楷体"/>
          <w:sz w:val="28"/>
          <w:szCs w:val="28"/>
        </w:rPr>
        <w:t>、《省住房城乡建设厅关于建筑业实施营改增后江苏省建设工程计价依据调整的通知》（苏建价〔2016〕154号）中不可竞争费用的规定。</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lang w:val="en-US" w:eastAsia="zh-CN"/>
        </w:rPr>
        <w:t>4、《省住房城乡建设厅关于调整建设工程计价增值税税率的通知》（苏建函价﹝2019﹞</w:t>
      </w:r>
      <w:r>
        <w:rPr>
          <w:rFonts w:hint="eastAsia" w:ascii="华文楷体" w:hAnsi="华文楷体" w:eastAsia="华文楷体" w:cs="华文楷体"/>
          <w:sz w:val="28"/>
          <w:szCs w:val="28"/>
        </w:rPr>
        <w:t>178号）。</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lang w:val="en-US" w:eastAsia="zh-CN"/>
        </w:rPr>
        <w:t>5</w:t>
      </w:r>
      <w:r>
        <w:rPr>
          <w:rFonts w:hint="eastAsia" w:ascii="华文楷体" w:hAnsi="华文楷体" w:eastAsia="华文楷体" w:cs="华文楷体"/>
          <w:sz w:val="28"/>
          <w:szCs w:val="28"/>
        </w:rPr>
        <w:t>、</w:t>
      </w:r>
      <w:r>
        <w:rPr>
          <w:rFonts w:hint="eastAsia" w:ascii="华文楷体" w:hAnsi="华文楷体" w:eastAsia="华文楷体" w:cs="华文楷体"/>
          <w:sz w:val="28"/>
          <w:szCs w:val="28"/>
          <w:lang w:val="en-US" w:eastAsia="zh-CN"/>
        </w:rPr>
        <w:t>其它</w:t>
      </w:r>
      <w:r>
        <w:rPr>
          <w:rFonts w:hint="eastAsia" w:ascii="华文楷体" w:hAnsi="华文楷体" w:eastAsia="华文楷体" w:cs="华文楷体"/>
          <w:sz w:val="28"/>
          <w:szCs w:val="28"/>
        </w:rPr>
        <w:t>文件等。</w:t>
      </w:r>
    </w:p>
    <w:p>
      <w:pPr>
        <w:spacing w:line="360" w:lineRule="auto"/>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rPr>
        <w:t>四、图纸及工程量计算中的相关说明</w:t>
      </w:r>
    </w:p>
    <w:p>
      <w:pPr>
        <w:pStyle w:val="22"/>
        <w:widowControl/>
        <w:spacing w:before="0" w:beforeAutospacing="0" w:after="0" w:afterAutospacing="0"/>
        <w:ind w:firstLine="560" w:firstLineChars="200"/>
        <w:rPr>
          <w:rFonts w:hint="eastAsia" w:ascii="华文楷体" w:hAnsi="华文楷体" w:eastAsia="华文楷体" w:cs="华文楷体"/>
          <w:kern w:val="2"/>
          <w:sz w:val="28"/>
          <w:szCs w:val="28"/>
        </w:rPr>
      </w:pPr>
      <w:r>
        <w:rPr>
          <w:rFonts w:hint="eastAsia" w:ascii="华文楷体" w:hAnsi="华文楷体" w:eastAsia="华文楷体" w:cs="华文楷体"/>
          <w:kern w:val="2"/>
          <w:sz w:val="28"/>
          <w:szCs w:val="28"/>
        </w:rPr>
        <w:t>1、通用部分</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rPr>
        <w:t>（1）投标人在投标报价时结合现场实际情况考虑施工及围挡防护安全，结算时不再调整；</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rPr>
        <w:t>（2）本工程所需报验、报检费用甲方不予承担，投标人自行考虑计入投标报价；</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lang w:val="zh-CN"/>
        </w:rPr>
      </w:pPr>
      <w:r>
        <w:rPr>
          <w:rFonts w:hint="eastAsia" w:ascii="华文楷体" w:hAnsi="华文楷体" w:eastAsia="华文楷体" w:cs="华文楷体"/>
          <w:sz w:val="28"/>
          <w:szCs w:val="28"/>
        </w:rPr>
        <w:t>（3）</w:t>
      </w:r>
      <w:r>
        <w:rPr>
          <w:rFonts w:hint="eastAsia" w:ascii="华文楷体" w:hAnsi="华文楷体" w:eastAsia="华文楷体" w:cs="华文楷体"/>
          <w:sz w:val="28"/>
          <w:szCs w:val="28"/>
          <w:lang w:val="zh-CN"/>
        </w:rPr>
        <w:t>措施费项目投标单位可自行增添内容，自行报价，未计放部分按优惠考虑，结算时不再调整，投标人在报价中应充分考虑所涉及的各项措施费及风险因素后再进行报价，</w:t>
      </w:r>
      <w:r>
        <w:rPr>
          <w:rFonts w:hint="eastAsia" w:ascii="华文楷体" w:hAnsi="华文楷体" w:eastAsia="华文楷体" w:cs="华文楷体"/>
          <w:sz w:val="28"/>
          <w:szCs w:val="28"/>
        </w:rPr>
        <w:t>不可竞争费按规定报价</w:t>
      </w:r>
      <w:r>
        <w:rPr>
          <w:rFonts w:hint="eastAsia" w:ascii="华文楷体" w:hAnsi="华文楷体" w:eastAsia="华文楷体" w:cs="华文楷体"/>
          <w:sz w:val="28"/>
          <w:szCs w:val="28"/>
          <w:lang w:val="zh-CN"/>
        </w:rPr>
        <w:t>；</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lang w:val="zh-CN"/>
        </w:rPr>
      </w:pPr>
      <w:r>
        <w:rPr>
          <w:rFonts w:hint="eastAsia" w:ascii="华文楷体" w:hAnsi="华文楷体" w:eastAsia="华文楷体" w:cs="华文楷体"/>
          <w:sz w:val="28"/>
          <w:szCs w:val="28"/>
        </w:rPr>
        <w:t>（4）</w:t>
      </w:r>
      <w:r>
        <w:rPr>
          <w:rFonts w:hint="eastAsia" w:ascii="华文楷体" w:hAnsi="华文楷体" w:eastAsia="华文楷体" w:cs="华文楷体"/>
          <w:sz w:val="28"/>
          <w:szCs w:val="28"/>
          <w:lang w:val="zh-CN"/>
        </w:rPr>
        <w:t>施工现场、交通运输情况及自然地理条件由投标人自行现场勘察，应充分考虑本工程场地现状的特点，可能对工程施工造成的影响并由此增加的费用等，做出考量一并考虑在投标报价中；</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lang w:val="zh-CN"/>
        </w:rPr>
      </w:pPr>
      <w:r>
        <w:rPr>
          <w:rFonts w:hint="eastAsia" w:ascii="华文楷体" w:hAnsi="华文楷体" w:eastAsia="华文楷体" w:cs="华文楷体"/>
          <w:sz w:val="28"/>
          <w:szCs w:val="28"/>
        </w:rPr>
        <w:t>（5）</w:t>
      </w:r>
      <w:r>
        <w:rPr>
          <w:rFonts w:hint="eastAsia" w:ascii="华文楷体" w:hAnsi="华文楷体" w:eastAsia="华文楷体" w:cs="华文楷体"/>
          <w:sz w:val="28"/>
          <w:szCs w:val="28"/>
          <w:lang w:val="zh-CN"/>
        </w:rPr>
        <w:t>清单中项目特征描述</w:t>
      </w:r>
      <w:r>
        <w:rPr>
          <w:rFonts w:hint="eastAsia" w:ascii="华文楷体" w:hAnsi="华文楷体" w:eastAsia="华文楷体" w:cs="华文楷体"/>
          <w:sz w:val="28"/>
          <w:szCs w:val="28"/>
        </w:rPr>
        <w:t>清单的主要特征</w:t>
      </w:r>
      <w:r>
        <w:rPr>
          <w:rFonts w:hint="eastAsia" w:ascii="华文楷体" w:hAnsi="华文楷体" w:eastAsia="华文楷体" w:cs="华文楷体"/>
          <w:sz w:val="28"/>
          <w:szCs w:val="28"/>
          <w:lang w:eastAsia="zh-CN"/>
        </w:rPr>
        <w:t>，</w:t>
      </w:r>
      <w:r>
        <w:rPr>
          <w:rFonts w:hint="eastAsia" w:ascii="华文楷体" w:hAnsi="华文楷体" w:eastAsia="华文楷体" w:cs="华文楷体"/>
          <w:sz w:val="28"/>
          <w:szCs w:val="28"/>
          <w:lang w:val="zh-CN"/>
        </w:rPr>
        <w:t>投标报价时应考虑</w:t>
      </w:r>
      <w:r>
        <w:rPr>
          <w:rFonts w:hint="eastAsia" w:ascii="华文楷体" w:hAnsi="华文楷体" w:eastAsia="华文楷体" w:cs="华文楷体"/>
          <w:sz w:val="28"/>
          <w:szCs w:val="28"/>
          <w:lang w:val="en-US" w:eastAsia="zh-CN"/>
        </w:rPr>
        <w:t>现场实际</w:t>
      </w:r>
      <w:r>
        <w:rPr>
          <w:rFonts w:hint="eastAsia" w:ascii="华文楷体" w:hAnsi="华文楷体" w:eastAsia="华文楷体" w:cs="华文楷体"/>
          <w:sz w:val="28"/>
          <w:szCs w:val="28"/>
          <w:lang w:val="zh-CN"/>
        </w:rPr>
        <w:t>所示施工要求等一切费用；</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lang w:val="zh-CN"/>
        </w:rPr>
      </w:pPr>
      <w:r>
        <w:rPr>
          <w:rFonts w:hint="eastAsia" w:ascii="华文楷体" w:hAnsi="华文楷体" w:eastAsia="华文楷体" w:cs="华文楷体"/>
          <w:sz w:val="28"/>
          <w:szCs w:val="28"/>
        </w:rPr>
        <w:t>（6）</w:t>
      </w:r>
      <w:r>
        <w:rPr>
          <w:rFonts w:hint="eastAsia" w:ascii="华文楷体" w:hAnsi="华文楷体" w:eastAsia="华文楷体" w:cs="华文楷体"/>
          <w:sz w:val="28"/>
          <w:szCs w:val="28"/>
          <w:lang w:val="zh-CN"/>
        </w:rPr>
        <w:t>工程量清单应与招标文件、招标项目</w:t>
      </w:r>
      <w:r>
        <w:rPr>
          <w:rFonts w:hint="eastAsia" w:ascii="华文楷体" w:hAnsi="华文楷体" w:eastAsia="华文楷体" w:cs="华文楷体"/>
          <w:sz w:val="28"/>
          <w:szCs w:val="28"/>
          <w:lang w:val="en-US" w:eastAsia="zh-CN"/>
        </w:rPr>
        <w:t>其它</w:t>
      </w:r>
      <w:r>
        <w:rPr>
          <w:rFonts w:hint="eastAsia" w:ascii="华文楷体" w:hAnsi="华文楷体" w:eastAsia="华文楷体" w:cs="华文楷体"/>
          <w:sz w:val="28"/>
          <w:szCs w:val="28"/>
          <w:lang w:val="zh-CN"/>
        </w:rPr>
        <w:t>文件结合起来查阅与理解。工程量清单中所描述的项目特征仅为招标人对该分部分项目工程特征的概述，而非是工程特征的全面描述，报价时必须按施工</w:t>
      </w:r>
      <w:r>
        <w:rPr>
          <w:rFonts w:hint="eastAsia" w:ascii="华文楷体" w:hAnsi="华文楷体" w:eastAsia="华文楷体" w:cs="华文楷体"/>
          <w:sz w:val="28"/>
          <w:szCs w:val="28"/>
          <w:lang w:val="en-US" w:eastAsia="zh-CN"/>
        </w:rPr>
        <w:t>现场实际情况</w:t>
      </w:r>
      <w:r>
        <w:rPr>
          <w:rFonts w:hint="eastAsia" w:ascii="华文楷体" w:hAnsi="华文楷体" w:eastAsia="华文楷体" w:cs="华文楷体"/>
          <w:sz w:val="28"/>
          <w:szCs w:val="28"/>
          <w:lang w:val="zh-CN"/>
        </w:rPr>
        <w:t>及相关的国家规范的要求。</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lang w:val="zh-CN"/>
        </w:rPr>
      </w:pPr>
      <w:r>
        <w:rPr>
          <w:rFonts w:hint="eastAsia" w:ascii="华文楷体" w:hAnsi="华文楷体" w:eastAsia="华文楷体" w:cs="华文楷体"/>
          <w:sz w:val="28"/>
          <w:szCs w:val="28"/>
        </w:rPr>
        <w:t>（7）</w:t>
      </w:r>
      <w:r>
        <w:rPr>
          <w:rFonts w:hint="eastAsia" w:ascii="华文楷体" w:hAnsi="华文楷体" w:eastAsia="华文楷体" w:cs="华文楷体"/>
          <w:sz w:val="28"/>
          <w:szCs w:val="28"/>
          <w:lang w:val="zh-CN"/>
        </w:rPr>
        <w:t>投标人在投标文件中应明确主要材料所报的品牌、规格型号及厂家，包括招标文件和工程量清单编制说明中已经列明的品牌或投标人自报材料的品牌，否则招标人有权对没有报品牌的主要材料指定相应的品牌，投标人无权拒绝。</w:t>
      </w:r>
    </w:p>
    <w:p>
      <w:pPr>
        <w:pStyle w:val="22"/>
        <w:widowControl/>
        <w:spacing w:before="0" w:beforeAutospacing="0" w:after="0" w:afterAutospacing="0"/>
        <w:ind w:firstLine="560" w:firstLineChars="200"/>
        <w:rPr>
          <w:rFonts w:hint="eastAsia" w:ascii="华文楷体" w:hAnsi="华文楷体" w:eastAsia="华文楷体" w:cs="华文楷体"/>
          <w:kern w:val="2"/>
          <w:sz w:val="28"/>
          <w:szCs w:val="28"/>
        </w:rPr>
      </w:pPr>
      <w:r>
        <w:rPr>
          <w:rFonts w:hint="eastAsia" w:ascii="华文楷体" w:hAnsi="华文楷体" w:eastAsia="华文楷体" w:cs="华文楷体"/>
          <w:kern w:val="2"/>
          <w:sz w:val="28"/>
          <w:szCs w:val="28"/>
        </w:rPr>
        <w:t>2、</w:t>
      </w:r>
      <w:r>
        <w:rPr>
          <w:rFonts w:hint="eastAsia" w:ascii="华文楷体" w:hAnsi="华文楷体" w:eastAsia="华文楷体" w:cs="华文楷体"/>
          <w:kern w:val="2"/>
          <w:sz w:val="28"/>
          <w:szCs w:val="28"/>
          <w:lang w:val="en-US" w:eastAsia="zh-CN"/>
        </w:rPr>
        <w:t>拆除</w:t>
      </w:r>
      <w:r>
        <w:rPr>
          <w:rFonts w:hint="eastAsia" w:ascii="华文楷体" w:hAnsi="华文楷体" w:eastAsia="华文楷体" w:cs="华文楷体"/>
          <w:kern w:val="2"/>
          <w:sz w:val="28"/>
          <w:szCs w:val="28"/>
        </w:rPr>
        <w:t>部分</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rPr>
        <w:t>（1）本项目投标人应自行察看现场，对前期施工中的各种施工因素需综合考虑并分项报价。</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rPr>
        <w:t>（2）工程量清单描述不全时，应</w:t>
      </w:r>
      <w:r>
        <w:rPr>
          <w:rFonts w:hint="eastAsia" w:ascii="华文楷体" w:hAnsi="华文楷体" w:eastAsia="华文楷体" w:cs="华文楷体"/>
          <w:sz w:val="28"/>
          <w:szCs w:val="28"/>
          <w:lang w:val="en-US" w:eastAsia="zh-CN"/>
        </w:rPr>
        <w:t>与负责人及时沟通</w:t>
      </w:r>
      <w:r>
        <w:rPr>
          <w:rFonts w:hint="eastAsia" w:ascii="华文楷体" w:hAnsi="华文楷体" w:eastAsia="华文楷体" w:cs="华文楷体"/>
          <w:sz w:val="28"/>
          <w:szCs w:val="28"/>
        </w:rPr>
        <w:t>，并应当综合考虑施工规范，地方规章等要求，所产生的费用计入报价中。</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rPr>
        <w:t>（</w:t>
      </w:r>
      <w:r>
        <w:rPr>
          <w:rFonts w:hint="eastAsia" w:ascii="华文楷体" w:hAnsi="华文楷体" w:eastAsia="华文楷体" w:cs="华文楷体"/>
          <w:sz w:val="28"/>
          <w:szCs w:val="28"/>
          <w:lang w:val="en-US" w:eastAsia="zh-CN"/>
        </w:rPr>
        <w:t>3</w:t>
      </w:r>
      <w:r>
        <w:rPr>
          <w:rFonts w:hint="eastAsia" w:ascii="华文楷体" w:hAnsi="华文楷体" w:eastAsia="华文楷体" w:cs="华文楷体"/>
          <w:sz w:val="28"/>
          <w:szCs w:val="28"/>
        </w:rPr>
        <w:t>）清单中项目特征描述不论是否完整，项目特征描述是否全面，招标</w:t>
      </w:r>
      <w:r>
        <w:rPr>
          <w:rFonts w:hint="eastAsia" w:ascii="华文楷体" w:hAnsi="华文楷体" w:eastAsia="华文楷体" w:cs="华文楷体"/>
          <w:sz w:val="28"/>
          <w:szCs w:val="28"/>
          <w:lang w:val="en-US" w:eastAsia="zh-CN"/>
        </w:rPr>
        <w:t>文件中</w:t>
      </w:r>
      <w:r>
        <w:rPr>
          <w:rFonts w:hint="eastAsia" w:ascii="华文楷体" w:hAnsi="华文楷体" w:eastAsia="华文楷体" w:cs="华文楷体"/>
          <w:sz w:val="28"/>
          <w:szCs w:val="28"/>
        </w:rPr>
        <w:t>的内容均含在此次报价内，投标人未在答疑阶段提出的均视为让利，该部分费用含在投标总费用当中，中标后不做调整（设计变更除外）。</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rPr>
        <w:t>（</w:t>
      </w:r>
      <w:r>
        <w:rPr>
          <w:rFonts w:hint="eastAsia" w:ascii="华文楷体" w:hAnsi="华文楷体" w:eastAsia="华文楷体" w:cs="华文楷体"/>
          <w:sz w:val="28"/>
          <w:szCs w:val="28"/>
          <w:lang w:val="en-US" w:eastAsia="zh-CN"/>
        </w:rPr>
        <w:t>4</w:t>
      </w:r>
      <w:r>
        <w:rPr>
          <w:rFonts w:hint="eastAsia" w:ascii="华文楷体" w:hAnsi="华文楷体" w:eastAsia="华文楷体" w:cs="华文楷体"/>
          <w:sz w:val="28"/>
          <w:szCs w:val="28"/>
        </w:rPr>
        <w:t>）工程量清单应与招标文件、招标项目图纸等文件结合起来查阅与理解，工程量清单中所描述的项目特征仅为招标人对该分部分项目工程特征的概述，而非是工程特征的全面描述，报价时必须按相关的国家规范的要求。</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lang w:val="en-US" w:eastAsia="zh-CN"/>
        </w:rPr>
      </w:pPr>
      <w:r>
        <w:rPr>
          <w:rFonts w:hint="eastAsia" w:ascii="华文楷体" w:hAnsi="华文楷体" w:eastAsia="华文楷体" w:cs="华文楷体"/>
          <w:sz w:val="28"/>
          <w:szCs w:val="28"/>
          <w:lang w:eastAsia="zh-CN"/>
        </w:rPr>
        <w:t>（</w:t>
      </w:r>
      <w:r>
        <w:rPr>
          <w:rFonts w:hint="eastAsia" w:ascii="华文楷体" w:hAnsi="华文楷体" w:eastAsia="华文楷体" w:cs="华文楷体"/>
          <w:sz w:val="28"/>
          <w:szCs w:val="28"/>
          <w:lang w:val="en-US" w:eastAsia="zh-CN"/>
        </w:rPr>
        <w:t>5</w:t>
      </w:r>
      <w:r>
        <w:rPr>
          <w:rFonts w:hint="eastAsia" w:ascii="华文楷体" w:hAnsi="华文楷体" w:eastAsia="华文楷体" w:cs="华文楷体"/>
          <w:sz w:val="28"/>
          <w:szCs w:val="28"/>
          <w:lang w:eastAsia="zh-CN"/>
        </w:rPr>
        <w:t>）</w:t>
      </w:r>
      <w:r>
        <w:rPr>
          <w:rFonts w:hint="eastAsia" w:ascii="华文楷体" w:hAnsi="华文楷体" w:eastAsia="华文楷体" w:cs="华文楷体"/>
          <w:sz w:val="28"/>
          <w:szCs w:val="28"/>
          <w:lang w:val="en-US" w:eastAsia="zh-CN"/>
        </w:rPr>
        <w:t>现场施工过程中，</w:t>
      </w:r>
      <w:r>
        <w:rPr>
          <w:rFonts w:hint="eastAsia" w:ascii="华文楷体" w:hAnsi="华文楷体" w:eastAsia="华文楷体" w:cs="华文楷体"/>
          <w:sz w:val="28"/>
          <w:szCs w:val="28"/>
          <w:highlight w:val="none"/>
          <w:lang w:val="en-US" w:eastAsia="zh-CN"/>
        </w:rPr>
        <w:t>局部破损处修复按业主指定要求，</w:t>
      </w:r>
      <w:r>
        <w:rPr>
          <w:rFonts w:hint="eastAsia" w:ascii="华文楷体" w:hAnsi="华文楷体" w:eastAsia="华文楷体" w:cs="华文楷体"/>
          <w:sz w:val="28"/>
          <w:szCs w:val="28"/>
          <w:lang w:val="en-US" w:eastAsia="zh-CN"/>
        </w:rPr>
        <w:t>引起相关材料变更及其它所产生的的费用投标人应综合考虑，结算时不另做调整。</w:t>
      </w:r>
    </w:p>
    <w:p>
      <w:pPr>
        <w:autoSpaceDE w:val="0"/>
        <w:autoSpaceDN w:val="0"/>
        <w:adjustRightInd w:val="0"/>
        <w:spacing w:line="360" w:lineRule="auto"/>
        <w:ind w:firstLine="560" w:firstLineChars="200"/>
        <w:jc w:val="left"/>
        <w:rPr>
          <w:rFonts w:hint="default"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6）对所有进场施工人员的成品保护应要进行培训，指定专人负责成品保护工作；各专业工种分别做好本专业施工的专业性保护措施，完成的成品或半成品应与业主单位进行有关交接。现场设置施工设备时，应用脚手板垫离，防止油污污染墙地面。如有污染应及时清理。在进行电、气焊、切割等施工作业时，应采用隔离措施，防止损坏已做好的墙地面。在现场建立临时库房或堆放材料时，应采用隔离措施，并特别保护墙、柱、楼梯踏步等阳角部位。施工单位应充分考虑现场实际情况，对产生的额外相关费用应充分考虑，结算时不另做调整。</w:t>
      </w:r>
    </w:p>
    <w:p>
      <w:pPr>
        <w:spacing w:line="360" w:lineRule="auto"/>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lang w:val="en-US" w:eastAsia="zh-CN"/>
        </w:rPr>
        <w:t>五</w:t>
      </w:r>
      <w:r>
        <w:rPr>
          <w:rFonts w:hint="eastAsia" w:ascii="华文楷体" w:hAnsi="华文楷体" w:eastAsia="华文楷体" w:cs="华文楷体"/>
          <w:b/>
          <w:bCs/>
          <w:sz w:val="28"/>
          <w:szCs w:val="28"/>
        </w:rPr>
        <w:t>、主要材料设备</w:t>
      </w:r>
    </w:p>
    <w:p>
      <w:pPr>
        <w:spacing w:line="360" w:lineRule="auto"/>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（一）投标人负责采购的主要材料设备</w:t>
      </w:r>
    </w:p>
    <w:p>
      <w:pPr>
        <w:spacing w:line="360" w:lineRule="auto"/>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本次招标要求投标人在投标时根据招标人提供的主要材料推荐品牌和产品系列，明确投标所选的厂家品牌产品（其中，</w:t>
      </w:r>
      <w:r>
        <w:rPr>
          <w:rFonts w:hint="eastAsia" w:ascii="华文楷体" w:hAnsi="华文楷体" w:eastAsia="华文楷体" w:cs="华文楷体"/>
          <w:i w:val="0"/>
          <w:iCs w:val="0"/>
          <w:color w:val="000000"/>
          <w:kern w:val="0"/>
          <w:sz w:val="28"/>
          <w:szCs w:val="28"/>
          <w:u w:val="none"/>
          <w:lang w:val="en-US" w:eastAsia="zh-CN" w:bidi="ar"/>
        </w:rPr>
        <w:t>钢质门</w:t>
      </w:r>
      <w:r>
        <w:rPr>
          <w:rFonts w:hint="eastAsia" w:ascii="华文楷体" w:hAnsi="华文楷体" w:eastAsia="华文楷体" w:cs="华文楷体"/>
          <w:sz w:val="28"/>
          <w:szCs w:val="28"/>
        </w:rPr>
        <w:t>、</w:t>
      </w:r>
      <w:r>
        <w:rPr>
          <w:rFonts w:hint="eastAsia" w:ascii="华文楷体" w:hAnsi="华文楷体" w:eastAsia="华文楷体" w:cs="华文楷体"/>
          <w:sz w:val="28"/>
          <w:szCs w:val="28"/>
          <w:lang w:val="en-US" w:eastAsia="zh-CN"/>
        </w:rPr>
        <w:t>窗</w:t>
      </w:r>
      <w:r>
        <w:rPr>
          <w:rFonts w:hint="eastAsia" w:ascii="华文楷体" w:hAnsi="华文楷体" w:eastAsia="华文楷体" w:cs="华文楷体"/>
          <w:sz w:val="28"/>
          <w:szCs w:val="28"/>
        </w:rPr>
        <w:t>可根据施工期间市场行情在自行调换任一推荐品牌进行采购）。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pPr>
        <w:numPr>
          <w:ilvl w:val="0"/>
          <w:numId w:val="3"/>
        </w:numPr>
        <w:spacing w:line="360" w:lineRule="auto"/>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主要材料品牌推荐表如下：</w:t>
      </w:r>
    </w:p>
    <w:tbl>
      <w:tblPr>
        <w:tblStyle w:val="25"/>
        <w:tblW w:w="9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4"/>
        <w:gridCol w:w="1219"/>
        <w:gridCol w:w="1624"/>
        <w:gridCol w:w="4341"/>
        <w:gridCol w:w="1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b/>
                <w:bCs/>
                <w:sz w:val="28"/>
                <w:szCs w:val="28"/>
                <w:lang w:eastAsia="zh-CN"/>
              </w:rPr>
            </w:pPr>
            <w:bookmarkStart w:id="0" w:name="_GoBack"/>
            <w:bookmarkEnd w:id="0"/>
            <w:r>
              <w:rPr>
                <w:rFonts w:hint="eastAsia" w:ascii="华文楷体" w:hAnsi="华文楷体" w:eastAsia="华文楷体" w:cs="华文楷体"/>
                <w:b/>
                <w:bCs/>
                <w:sz w:val="28"/>
                <w:szCs w:val="28"/>
                <w:lang w:val="en-US" w:eastAsia="zh-CN"/>
              </w:rPr>
              <w:t>序号</w:t>
            </w:r>
          </w:p>
        </w:tc>
        <w:tc>
          <w:tcPr>
            <w:tcW w:w="1219"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rPr>
              <w:t>材料设备名称</w:t>
            </w:r>
          </w:p>
        </w:tc>
        <w:tc>
          <w:tcPr>
            <w:tcW w:w="1624"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rPr>
              <w:t>推荐品牌</w:t>
            </w:r>
          </w:p>
        </w:tc>
        <w:tc>
          <w:tcPr>
            <w:tcW w:w="4341"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rPr>
              <w:t>生产商全称</w:t>
            </w:r>
          </w:p>
        </w:tc>
        <w:tc>
          <w:tcPr>
            <w:tcW w:w="1828"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lang w:eastAsia="zh-CN"/>
              </w:rPr>
            </w:pPr>
            <w:r>
              <w:rPr>
                <w:rFonts w:hint="eastAsia" w:ascii="华文楷体" w:hAnsi="华文楷体" w:eastAsia="华文楷体" w:cs="华文楷体"/>
                <w:sz w:val="28"/>
                <w:szCs w:val="28"/>
                <w:lang w:val="en-US" w:eastAsia="zh-CN"/>
              </w:rPr>
              <w:t>1</w:t>
            </w:r>
          </w:p>
        </w:tc>
        <w:tc>
          <w:tcPr>
            <w:tcW w:w="1219" w:type="dxa"/>
            <w:vMerge w:val="restart"/>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钢质防火玻璃门、窗</w:t>
            </w:r>
          </w:p>
        </w:tc>
        <w:tc>
          <w:tcPr>
            <w:tcW w:w="1624"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苏安</w:t>
            </w:r>
          </w:p>
        </w:tc>
        <w:tc>
          <w:tcPr>
            <w:tcW w:w="4341" w:type="dxa"/>
            <w:shd w:val="clear" w:color="auto" w:fill="auto"/>
            <w:tcMar>
              <w:top w:w="12" w:type="dxa"/>
              <w:left w:w="12" w:type="dxa"/>
              <w:right w:w="12" w:type="dxa"/>
            </w:tcMar>
            <w:vAlign w:val="center"/>
          </w:tcPr>
          <w:p>
            <w:pPr>
              <w:widowControl/>
              <w:jc w:val="center"/>
              <w:textAlignment w:val="center"/>
              <w:rPr>
                <w:rFonts w:hint="default"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太仓市浏河防火防盗门窗有限公司</w:t>
            </w:r>
          </w:p>
        </w:tc>
        <w:tc>
          <w:tcPr>
            <w:tcW w:w="1828"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hint="eastAsia"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rPr>
                <w:rFonts w:hint="eastAsia" w:ascii="华文楷体" w:hAnsi="华文楷体" w:eastAsia="华文楷体" w:cs="华文楷体"/>
                <w:sz w:val="28"/>
                <w:szCs w:val="28"/>
              </w:rPr>
            </w:pPr>
          </w:p>
        </w:tc>
        <w:tc>
          <w:tcPr>
            <w:tcW w:w="1624"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逸遁</w:t>
            </w:r>
          </w:p>
        </w:tc>
        <w:tc>
          <w:tcPr>
            <w:tcW w:w="4341" w:type="dxa"/>
            <w:shd w:val="clear" w:color="auto" w:fill="auto"/>
            <w:tcMar>
              <w:top w:w="12" w:type="dxa"/>
              <w:left w:w="12" w:type="dxa"/>
              <w:right w:w="12" w:type="dxa"/>
            </w:tcMar>
            <w:vAlign w:val="center"/>
          </w:tcPr>
          <w:p>
            <w:pPr>
              <w:widowControl/>
              <w:jc w:val="center"/>
              <w:textAlignment w:val="center"/>
              <w:rPr>
                <w:rFonts w:hint="default"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上海逸遁门业有限公司</w:t>
            </w:r>
          </w:p>
        </w:tc>
        <w:tc>
          <w:tcPr>
            <w:tcW w:w="1828"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hint="eastAsia"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rPr>
                <w:rFonts w:hint="eastAsia" w:ascii="华文楷体" w:hAnsi="华文楷体" w:eastAsia="华文楷体" w:cs="华文楷体"/>
                <w:sz w:val="28"/>
                <w:szCs w:val="28"/>
              </w:rPr>
            </w:pPr>
          </w:p>
        </w:tc>
        <w:tc>
          <w:tcPr>
            <w:tcW w:w="1624"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华文楷体" w:hAnsi="华文楷体" w:eastAsia="华文楷体" w:cs="华文楷体"/>
                <w:sz w:val="28"/>
                <w:szCs w:val="28"/>
              </w:rPr>
            </w:pPr>
            <w:r>
              <w:rPr>
                <w:rFonts w:hint="eastAsia" w:ascii="华文楷体" w:hAnsi="华文楷体" w:eastAsia="华文楷体" w:cs="华文楷体"/>
                <w:i w:val="0"/>
                <w:iCs w:val="0"/>
                <w:color w:val="000000"/>
                <w:kern w:val="0"/>
                <w:sz w:val="28"/>
                <w:szCs w:val="28"/>
                <w:u w:val="none"/>
                <w:lang w:val="en-US" w:eastAsia="zh-CN" w:bidi="ar"/>
              </w:rPr>
              <w:t>盛阳</w:t>
            </w:r>
          </w:p>
        </w:tc>
        <w:tc>
          <w:tcPr>
            <w:tcW w:w="4341" w:type="dxa"/>
            <w:shd w:val="clear" w:color="auto" w:fill="auto"/>
            <w:tcMar>
              <w:top w:w="12" w:type="dxa"/>
              <w:left w:w="12" w:type="dxa"/>
              <w:right w:w="12" w:type="dxa"/>
            </w:tcMar>
            <w:vAlign w:val="center"/>
          </w:tcPr>
          <w:p>
            <w:pPr>
              <w:widowControl/>
              <w:jc w:val="center"/>
              <w:textAlignment w:val="center"/>
              <w:rPr>
                <w:rFonts w:hint="default"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江苏盛阳门业有限公司</w:t>
            </w:r>
          </w:p>
        </w:tc>
        <w:tc>
          <w:tcPr>
            <w:tcW w:w="1828"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7" w:hRule="atLeast"/>
        </w:trPr>
        <w:tc>
          <w:tcPr>
            <w:tcW w:w="434" w:type="dxa"/>
            <w:vMerge w:val="restart"/>
            <w:shd w:val="clear" w:color="auto" w:fill="auto"/>
            <w:tcMar>
              <w:top w:w="12" w:type="dxa"/>
              <w:left w:w="12" w:type="dxa"/>
              <w:right w:w="12" w:type="dxa"/>
            </w:tcMar>
            <w:vAlign w:val="center"/>
          </w:tcPr>
          <w:p>
            <w:pPr>
              <w:jc w:val="center"/>
              <w:rPr>
                <w:rFonts w:hint="eastAsia"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2</w:t>
            </w:r>
          </w:p>
        </w:tc>
        <w:tc>
          <w:tcPr>
            <w:tcW w:w="1219" w:type="dxa"/>
            <w:vMerge w:val="restart"/>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华文楷体" w:hAnsi="华文楷体" w:eastAsia="华文楷体" w:cs="华文楷体"/>
                <w:sz w:val="28"/>
                <w:szCs w:val="28"/>
                <w:lang w:val="en-US"/>
              </w:rPr>
            </w:pPr>
            <w:r>
              <w:rPr>
                <w:rFonts w:hint="eastAsia" w:ascii="华文楷体" w:hAnsi="华文楷体" w:eastAsia="华文楷体" w:cs="华文楷体"/>
                <w:i w:val="0"/>
                <w:iCs w:val="0"/>
                <w:color w:val="000000"/>
                <w:kern w:val="0"/>
                <w:sz w:val="28"/>
                <w:szCs w:val="28"/>
                <w:u w:val="none"/>
                <w:lang w:val="en-US" w:eastAsia="zh-CN" w:bidi="ar"/>
              </w:rPr>
              <w:t>钢质防火防盗门</w:t>
            </w:r>
          </w:p>
        </w:tc>
        <w:tc>
          <w:tcPr>
            <w:tcW w:w="1624"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lang w:val="en-US" w:eastAsia="zh-CN"/>
              </w:rPr>
              <w:t>苏安</w:t>
            </w:r>
          </w:p>
        </w:tc>
        <w:tc>
          <w:tcPr>
            <w:tcW w:w="4341"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lang w:val="en-US" w:eastAsia="zh-CN"/>
              </w:rPr>
              <w:t>太仓市浏河防火防盗门窗有限公司</w:t>
            </w:r>
          </w:p>
        </w:tc>
        <w:tc>
          <w:tcPr>
            <w:tcW w:w="1828" w:type="dxa"/>
            <w:vMerge w:val="restart"/>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7" w:hRule="atLeast"/>
        </w:trPr>
        <w:tc>
          <w:tcPr>
            <w:tcW w:w="434" w:type="dxa"/>
            <w:vMerge w:val="continue"/>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c>
          <w:tcPr>
            <w:tcW w:w="1624"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lang w:val="en-US" w:eastAsia="zh-CN"/>
              </w:rPr>
              <w:t>逸遁</w:t>
            </w:r>
          </w:p>
        </w:tc>
        <w:tc>
          <w:tcPr>
            <w:tcW w:w="4341"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lang w:val="en-US" w:eastAsia="zh-CN"/>
              </w:rPr>
              <w:t>上海逸遁门业有限公司</w:t>
            </w:r>
          </w:p>
        </w:tc>
        <w:tc>
          <w:tcPr>
            <w:tcW w:w="1828" w:type="dxa"/>
            <w:vMerge w:val="continue"/>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5" w:hRule="atLeast"/>
        </w:trPr>
        <w:tc>
          <w:tcPr>
            <w:tcW w:w="434" w:type="dxa"/>
            <w:vMerge w:val="continue"/>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c>
          <w:tcPr>
            <w:tcW w:w="1624"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华文楷体" w:hAnsi="华文楷体" w:eastAsia="华文楷体" w:cs="华文楷体"/>
                <w:sz w:val="28"/>
                <w:szCs w:val="28"/>
              </w:rPr>
            </w:pPr>
            <w:r>
              <w:rPr>
                <w:rFonts w:hint="eastAsia" w:ascii="华文楷体" w:hAnsi="华文楷体" w:eastAsia="华文楷体" w:cs="华文楷体"/>
                <w:i w:val="0"/>
                <w:iCs w:val="0"/>
                <w:color w:val="000000"/>
                <w:kern w:val="0"/>
                <w:sz w:val="28"/>
                <w:szCs w:val="28"/>
                <w:u w:val="none"/>
                <w:lang w:val="en-US" w:eastAsia="zh-CN" w:bidi="ar"/>
              </w:rPr>
              <w:t>盛阳</w:t>
            </w:r>
          </w:p>
        </w:tc>
        <w:tc>
          <w:tcPr>
            <w:tcW w:w="4341"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lang w:val="en-US" w:eastAsia="zh-CN"/>
              </w:rPr>
              <w:t>江苏盛阳门业有限公司</w:t>
            </w:r>
          </w:p>
        </w:tc>
        <w:tc>
          <w:tcPr>
            <w:tcW w:w="1828" w:type="dxa"/>
            <w:vMerge w:val="continue"/>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lang w:eastAsia="zh-CN"/>
              </w:rPr>
            </w:pPr>
            <w:r>
              <w:rPr>
                <w:rFonts w:hint="eastAsia" w:ascii="华文楷体" w:hAnsi="华文楷体" w:eastAsia="华文楷体" w:cs="华文楷体"/>
                <w:sz w:val="28"/>
                <w:szCs w:val="28"/>
                <w:lang w:val="en-US" w:eastAsia="zh-CN"/>
              </w:rPr>
              <w:t>3</w:t>
            </w:r>
          </w:p>
        </w:tc>
        <w:tc>
          <w:tcPr>
            <w:tcW w:w="1219" w:type="dxa"/>
            <w:vMerge w:val="restart"/>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水泥</w:t>
            </w:r>
          </w:p>
        </w:tc>
        <w:tc>
          <w:tcPr>
            <w:tcW w:w="1624"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海螺</w:t>
            </w:r>
          </w:p>
        </w:tc>
        <w:tc>
          <w:tcPr>
            <w:tcW w:w="4341"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海螺集团</w:t>
            </w:r>
          </w:p>
        </w:tc>
        <w:tc>
          <w:tcPr>
            <w:tcW w:w="1828"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hint="eastAsia"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hint="eastAsia" w:ascii="华文楷体" w:hAnsi="华文楷体" w:eastAsia="华文楷体" w:cs="华文楷体"/>
                <w:sz w:val="28"/>
                <w:szCs w:val="28"/>
              </w:rPr>
            </w:pPr>
          </w:p>
        </w:tc>
        <w:tc>
          <w:tcPr>
            <w:tcW w:w="1624"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鹤林</w:t>
            </w:r>
          </w:p>
        </w:tc>
        <w:tc>
          <w:tcPr>
            <w:tcW w:w="4341"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江苏鹤林水泥有限公司（总厂产品）</w:t>
            </w:r>
          </w:p>
        </w:tc>
        <w:tc>
          <w:tcPr>
            <w:tcW w:w="1828"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hint="eastAsia"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hint="eastAsia" w:ascii="华文楷体" w:hAnsi="华文楷体" w:eastAsia="华文楷体" w:cs="华文楷体"/>
                <w:sz w:val="28"/>
                <w:szCs w:val="28"/>
              </w:rPr>
            </w:pPr>
          </w:p>
        </w:tc>
        <w:tc>
          <w:tcPr>
            <w:tcW w:w="1624"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中联</w:t>
            </w:r>
          </w:p>
        </w:tc>
        <w:tc>
          <w:tcPr>
            <w:tcW w:w="4341"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中国联合水泥集团有限公司（总厂产品）</w:t>
            </w:r>
          </w:p>
        </w:tc>
        <w:tc>
          <w:tcPr>
            <w:tcW w:w="1828"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27" w:hRule="atLeast"/>
        </w:trPr>
        <w:tc>
          <w:tcPr>
            <w:tcW w:w="434" w:type="dxa"/>
            <w:vMerge w:val="restart"/>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4</w:t>
            </w:r>
          </w:p>
        </w:tc>
        <w:tc>
          <w:tcPr>
            <w:tcW w:w="1219" w:type="dxa"/>
            <w:vMerge w:val="restart"/>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墙、地面砖</w:t>
            </w:r>
          </w:p>
        </w:tc>
        <w:tc>
          <w:tcPr>
            <w:tcW w:w="1624"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华文楷体" w:hAnsi="华文楷体" w:eastAsia="华文楷体" w:cs="华文楷体"/>
                <w:i w:val="0"/>
                <w:iCs w:val="0"/>
                <w:color w:val="000000"/>
                <w:kern w:val="0"/>
                <w:sz w:val="28"/>
                <w:szCs w:val="28"/>
                <w:u w:val="none"/>
                <w:lang w:val="en-US" w:eastAsia="zh-CN" w:bidi="ar"/>
              </w:rPr>
            </w:pPr>
            <w:r>
              <w:rPr>
                <w:rFonts w:hint="eastAsia" w:ascii="华文楷体" w:hAnsi="华文楷体" w:eastAsia="华文楷体" w:cs="华文楷体"/>
                <w:i w:val="0"/>
                <w:iCs w:val="0"/>
                <w:color w:val="000000"/>
                <w:kern w:val="0"/>
                <w:sz w:val="28"/>
                <w:szCs w:val="28"/>
                <w:u w:val="none"/>
                <w:lang w:val="en-US" w:eastAsia="zh-CN" w:bidi="ar"/>
              </w:rPr>
              <w:t>诺贝尔</w:t>
            </w:r>
          </w:p>
        </w:tc>
        <w:tc>
          <w:tcPr>
            <w:tcW w:w="4341"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杭州诺贝尔集团有限公司</w:t>
            </w:r>
          </w:p>
        </w:tc>
        <w:tc>
          <w:tcPr>
            <w:tcW w:w="1828"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5" w:hRule="atLeast"/>
        </w:trPr>
        <w:tc>
          <w:tcPr>
            <w:tcW w:w="434" w:type="dxa"/>
            <w:vMerge w:val="continue"/>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c>
          <w:tcPr>
            <w:tcW w:w="1624"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华文楷体" w:hAnsi="华文楷体" w:eastAsia="华文楷体" w:cs="华文楷体"/>
                <w:i w:val="0"/>
                <w:iCs w:val="0"/>
                <w:color w:val="000000"/>
                <w:kern w:val="0"/>
                <w:sz w:val="28"/>
                <w:szCs w:val="28"/>
                <w:u w:val="none"/>
                <w:lang w:val="en-US" w:eastAsia="zh-CN" w:bidi="ar"/>
              </w:rPr>
            </w:pPr>
            <w:r>
              <w:rPr>
                <w:rFonts w:hint="eastAsia" w:ascii="华文楷体" w:hAnsi="华文楷体" w:eastAsia="华文楷体" w:cs="华文楷体"/>
                <w:i w:val="0"/>
                <w:iCs w:val="0"/>
                <w:color w:val="000000"/>
                <w:kern w:val="0"/>
                <w:sz w:val="28"/>
                <w:szCs w:val="28"/>
                <w:u w:val="none"/>
                <w:lang w:val="en-US" w:eastAsia="zh-CN" w:bidi="ar"/>
              </w:rPr>
              <w:t>东鹏</w:t>
            </w:r>
          </w:p>
        </w:tc>
        <w:tc>
          <w:tcPr>
            <w:tcW w:w="4341"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广东东鹏控股股份有限公司</w:t>
            </w:r>
          </w:p>
        </w:tc>
        <w:tc>
          <w:tcPr>
            <w:tcW w:w="1828"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5" w:hRule="atLeast"/>
        </w:trPr>
        <w:tc>
          <w:tcPr>
            <w:tcW w:w="434" w:type="dxa"/>
            <w:vMerge w:val="continue"/>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c>
          <w:tcPr>
            <w:tcW w:w="1624"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华文楷体" w:hAnsi="华文楷体" w:eastAsia="华文楷体" w:cs="华文楷体"/>
                <w:i w:val="0"/>
                <w:iCs w:val="0"/>
                <w:color w:val="000000"/>
                <w:kern w:val="0"/>
                <w:sz w:val="28"/>
                <w:szCs w:val="28"/>
                <w:u w:val="none"/>
                <w:lang w:val="en-US" w:eastAsia="zh-CN" w:bidi="ar"/>
              </w:rPr>
            </w:pPr>
            <w:r>
              <w:rPr>
                <w:rFonts w:hint="eastAsia" w:ascii="华文楷体" w:hAnsi="华文楷体" w:eastAsia="华文楷体" w:cs="华文楷体"/>
                <w:i w:val="0"/>
                <w:iCs w:val="0"/>
                <w:color w:val="000000"/>
                <w:kern w:val="0"/>
                <w:sz w:val="28"/>
                <w:szCs w:val="28"/>
                <w:u w:val="none"/>
                <w:lang w:val="en-US" w:eastAsia="zh-CN" w:bidi="ar"/>
              </w:rPr>
              <w:t>马可波罗</w:t>
            </w:r>
          </w:p>
        </w:tc>
        <w:tc>
          <w:tcPr>
            <w:tcW w:w="4341"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广东唯美陶瓷有限公司</w:t>
            </w:r>
          </w:p>
        </w:tc>
        <w:tc>
          <w:tcPr>
            <w:tcW w:w="1828" w:type="dxa"/>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rPr>
            </w:pPr>
          </w:p>
        </w:tc>
      </w:tr>
    </w:tbl>
    <w:p>
      <w:pPr>
        <w:numPr>
          <w:ilvl w:val="0"/>
          <w:numId w:val="0"/>
        </w:numPr>
        <w:spacing w:line="360" w:lineRule="auto"/>
        <w:rPr>
          <w:rFonts w:hint="eastAsia" w:ascii="华文楷体" w:hAnsi="华文楷体" w:eastAsia="华文楷体" w:cs="华文楷体"/>
          <w:sz w:val="28"/>
          <w:szCs w:val="28"/>
        </w:rPr>
      </w:pPr>
    </w:p>
    <w:p>
      <w:pPr>
        <w:spacing w:line="360" w:lineRule="auto"/>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2、主要材料技术标准和质量要求如下：</w:t>
      </w:r>
    </w:p>
    <w:p>
      <w:pPr>
        <w:spacing w:line="360" w:lineRule="auto"/>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spacing w:line="360" w:lineRule="auto"/>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（二）招标人自行采购的主要材料设备：无。</w:t>
      </w:r>
    </w:p>
    <w:p>
      <w:pPr>
        <w:spacing w:line="360" w:lineRule="auto"/>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lang w:val="en-US" w:eastAsia="zh-CN"/>
        </w:rPr>
        <w:t>六</w:t>
      </w:r>
      <w:r>
        <w:rPr>
          <w:rFonts w:hint="eastAsia" w:ascii="华文楷体" w:hAnsi="华文楷体" w:eastAsia="华文楷体" w:cs="华文楷体"/>
          <w:b/>
          <w:bCs/>
          <w:sz w:val="28"/>
          <w:szCs w:val="28"/>
        </w:rPr>
        <w:t>、其他说明</w:t>
      </w:r>
    </w:p>
    <w:p>
      <w:pPr>
        <w:spacing w:line="360" w:lineRule="auto"/>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1、投标人应在认真理解和熟悉招标文件，经现场踏勘后，综合考虑清单中各分部分项工程包括管理费、利润、风险费、规费、税金等全部费用清单报价，无论清单特征中是否描述，投标人综合单价均应包含完成本清单项目所有工作内容的费用。</w:t>
      </w:r>
    </w:p>
    <w:p>
      <w:pPr>
        <w:spacing w:line="360" w:lineRule="auto"/>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2、各投标人在进行综合报价时必须结合招标文件中的相关条款及清单描述进行报价，清单子目中未能对各节点进行完全性描述的必须结合</w:t>
      </w:r>
      <w:r>
        <w:rPr>
          <w:rFonts w:hint="eastAsia" w:ascii="华文楷体" w:hAnsi="华文楷体" w:eastAsia="华文楷体" w:cs="华文楷体"/>
          <w:sz w:val="28"/>
          <w:szCs w:val="28"/>
          <w:lang w:val="en-US" w:eastAsia="zh-CN"/>
        </w:rPr>
        <w:t>实际情况</w:t>
      </w:r>
      <w:r>
        <w:rPr>
          <w:rFonts w:hint="eastAsia" w:ascii="华文楷体" w:hAnsi="华文楷体" w:eastAsia="华文楷体" w:cs="华文楷体"/>
          <w:sz w:val="28"/>
          <w:szCs w:val="28"/>
        </w:rPr>
        <w:t>详细节点进行报价，否则视为已计入相应项目综合单价内，中标后将不调整综合单价。若招标文件中相关条款及清单描述有冲突的，投标人应在“澄清答疑”环节中向招标人提出，招标人将在“澄清答疑”环节中答复；投标人未在“澄清答疑”环节提出的，则最终解释权归属于招标人。</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p>
    <w:sectPr>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83" w:usb1="288F0000" w:usb2="0000000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386A48"/>
    <w:multiLevelType w:val="singleLevel"/>
    <w:tmpl w:val="C7386A48"/>
    <w:lvl w:ilvl="0" w:tentative="0">
      <w:start w:val="1"/>
      <w:numFmt w:val="chineseCounting"/>
      <w:suff w:val="nothing"/>
      <w:lvlText w:val="%1、"/>
      <w:lvlJc w:val="left"/>
      <w:rPr>
        <w:rFonts w:hint="eastAsia"/>
      </w:rPr>
    </w:lvl>
  </w:abstractNum>
  <w:abstractNum w:abstractNumId="1">
    <w:nsid w:val="39C0874D"/>
    <w:multiLevelType w:val="singleLevel"/>
    <w:tmpl w:val="39C0874D"/>
    <w:lvl w:ilvl="0" w:tentative="0">
      <w:start w:val="1"/>
      <w:numFmt w:val="decimal"/>
      <w:suff w:val="nothing"/>
      <w:lvlText w:val="%1、"/>
      <w:lvlJc w:val="left"/>
    </w:lvl>
  </w:abstractNum>
  <w:abstractNum w:abstractNumId="2">
    <w:nsid w:val="7210947C"/>
    <w:multiLevelType w:val="singleLevel"/>
    <w:tmpl w:val="7210947C"/>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2MmM5N2U4Yzg4MDgyMzBjM2JhN2I1MDk1N2UzZWEifQ=="/>
  </w:docVars>
  <w:rsids>
    <w:rsidRoot w:val="00E80598"/>
    <w:rsid w:val="00003B10"/>
    <w:rsid w:val="00040349"/>
    <w:rsid w:val="00070CA5"/>
    <w:rsid w:val="000878B4"/>
    <w:rsid w:val="00094F0E"/>
    <w:rsid w:val="000C5F5E"/>
    <w:rsid w:val="00130701"/>
    <w:rsid w:val="001D3A5E"/>
    <w:rsid w:val="00224361"/>
    <w:rsid w:val="00340E3E"/>
    <w:rsid w:val="003C551D"/>
    <w:rsid w:val="003D4DFA"/>
    <w:rsid w:val="0041308F"/>
    <w:rsid w:val="004278D2"/>
    <w:rsid w:val="00457557"/>
    <w:rsid w:val="00462E4D"/>
    <w:rsid w:val="004A69EC"/>
    <w:rsid w:val="004C3E75"/>
    <w:rsid w:val="004E1038"/>
    <w:rsid w:val="005453BC"/>
    <w:rsid w:val="005733F8"/>
    <w:rsid w:val="00587E4B"/>
    <w:rsid w:val="005C7A6B"/>
    <w:rsid w:val="006035F5"/>
    <w:rsid w:val="006252DA"/>
    <w:rsid w:val="006A6281"/>
    <w:rsid w:val="006D6139"/>
    <w:rsid w:val="006E0A43"/>
    <w:rsid w:val="006F1DF0"/>
    <w:rsid w:val="00716093"/>
    <w:rsid w:val="00770FE5"/>
    <w:rsid w:val="00777DEA"/>
    <w:rsid w:val="00784A79"/>
    <w:rsid w:val="00792C2E"/>
    <w:rsid w:val="007E7818"/>
    <w:rsid w:val="007F7C1D"/>
    <w:rsid w:val="00847CE5"/>
    <w:rsid w:val="00850ECA"/>
    <w:rsid w:val="00855A30"/>
    <w:rsid w:val="008964D1"/>
    <w:rsid w:val="008B79F8"/>
    <w:rsid w:val="009220B0"/>
    <w:rsid w:val="009C2E62"/>
    <w:rsid w:val="009F7256"/>
    <w:rsid w:val="00A63FC9"/>
    <w:rsid w:val="00AB037F"/>
    <w:rsid w:val="00AB5606"/>
    <w:rsid w:val="00AC1EED"/>
    <w:rsid w:val="00B276BE"/>
    <w:rsid w:val="00B276F7"/>
    <w:rsid w:val="00B45773"/>
    <w:rsid w:val="00B46074"/>
    <w:rsid w:val="00B618D2"/>
    <w:rsid w:val="00C24412"/>
    <w:rsid w:val="00C30855"/>
    <w:rsid w:val="00C34BCE"/>
    <w:rsid w:val="00C36851"/>
    <w:rsid w:val="00C9616D"/>
    <w:rsid w:val="00CA1596"/>
    <w:rsid w:val="00CB729C"/>
    <w:rsid w:val="00D10226"/>
    <w:rsid w:val="00D53389"/>
    <w:rsid w:val="00E03455"/>
    <w:rsid w:val="00E80598"/>
    <w:rsid w:val="00E924B2"/>
    <w:rsid w:val="00EA4032"/>
    <w:rsid w:val="00ED2F94"/>
    <w:rsid w:val="00EE3AC7"/>
    <w:rsid w:val="00F106A9"/>
    <w:rsid w:val="00F35A42"/>
    <w:rsid w:val="00F637EC"/>
    <w:rsid w:val="00F86DE8"/>
    <w:rsid w:val="00FD2FBA"/>
    <w:rsid w:val="05637CE9"/>
    <w:rsid w:val="0617371C"/>
    <w:rsid w:val="06494ACC"/>
    <w:rsid w:val="069E7F5D"/>
    <w:rsid w:val="0D071482"/>
    <w:rsid w:val="10CF1944"/>
    <w:rsid w:val="127C008F"/>
    <w:rsid w:val="155D0C1F"/>
    <w:rsid w:val="15803988"/>
    <w:rsid w:val="16500C6A"/>
    <w:rsid w:val="16CC55E9"/>
    <w:rsid w:val="16D4039C"/>
    <w:rsid w:val="17E83B2A"/>
    <w:rsid w:val="17F607B2"/>
    <w:rsid w:val="219400F4"/>
    <w:rsid w:val="22715C4D"/>
    <w:rsid w:val="255F78C7"/>
    <w:rsid w:val="33CD3E70"/>
    <w:rsid w:val="35712C15"/>
    <w:rsid w:val="35FA5E53"/>
    <w:rsid w:val="382F2312"/>
    <w:rsid w:val="414738E4"/>
    <w:rsid w:val="44E8447B"/>
    <w:rsid w:val="46E65562"/>
    <w:rsid w:val="46EE76C2"/>
    <w:rsid w:val="52D906BF"/>
    <w:rsid w:val="55316CE7"/>
    <w:rsid w:val="5BCE5477"/>
    <w:rsid w:val="5ED65A59"/>
    <w:rsid w:val="5EF35573"/>
    <w:rsid w:val="6CFD61C1"/>
    <w:rsid w:val="6DD7333F"/>
    <w:rsid w:val="6ECE536B"/>
    <w:rsid w:val="6F2816D6"/>
    <w:rsid w:val="6FA554C1"/>
    <w:rsid w:val="764C1581"/>
    <w:rsid w:val="79345BD4"/>
    <w:rsid w:val="7CE77619"/>
    <w:rsid w:val="7D5F1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qFormat/>
    <w:uiPriority w:val="99"/>
    <w:pPr>
      <w:keepNext/>
      <w:keepLines/>
      <w:snapToGrid w:val="0"/>
      <w:spacing w:before="60" w:after="60"/>
      <w:ind w:right="-11"/>
      <w:jc w:val="center"/>
      <w:outlineLvl w:val="0"/>
    </w:pPr>
    <w:rPr>
      <w:rFonts w:ascii="Times New Roman" w:hAnsi="Times New Roman" w:eastAsia="宋体" w:cs="Times New Roman"/>
      <w:b/>
      <w:kern w:val="44"/>
      <w:sz w:val="36"/>
      <w:szCs w:val="36"/>
    </w:rPr>
  </w:style>
  <w:style w:type="paragraph" w:styleId="3">
    <w:name w:val="heading 2"/>
    <w:basedOn w:val="1"/>
    <w:next w:val="4"/>
    <w:link w:val="31"/>
    <w:qFormat/>
    <w:uiPriority w:val="9"/>
    <w:pPr>
      <w:keepNext/>
      <w:keepLines/>
      <w:adjustRightInd w:val="0"/>
      <w:snapToGrid w:val="0"/>
      <w:spacing w:before="240" w:after="240"/>
      <w:ind w:right="-11"/>
      <w:jc w:val="center"/>
      <w:outlineLvl w:val="1"/>
    </w:pPr>
    <w:rPr>
      <w:rFonts w:ascii="Arial" w:hAnsi="Arial" w:eastAsia="宋体" w:cs="Times New Roman"/>
      <w:b/>
      <w:sz w:val="32"/>
      <w:szCs w:val="20"/>
    </w:rPr>
  </w:style>
  <w:style w:type="paragraph" w:styleId="5">
    <w:name w:val="heading 3"/>
    <w:basedOn w:val="1"/>
    <w:next w:val="4"/>
    <w:link w:val="32"/>
    <w:qFormat/>
    <w:uiPriority w:val="9"/>
    <w:pPr>
      <w:keepNext/>
      <w:keepLines/>
      <w:adjustRightInd w:val="0"/>
      <w:snapToGrid w:val="0"/>
      <w:spacing w:before="240" w:after="240"/>
      <w:ind w:right="-11" w:firstLine="200" w:firstLineChars="200"/>
      <w:outlineLvl w:val="2"/>
    </w:pPr>
    <w:rPr>
      <w:rFonts w:ascii="宋体"/>
      <w:b/>
      <w:sz w:val="24"/>
    </w:rPr>
  </w:style>
  <w:style w:type="character" w:default="1" w:styleId="27">
    <w:name w:val="Default Paragraph Font"/>
    <w:semiHidden/>
    <w:unhideWhenUsed/>
    <w:qFormat/>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4">
    <w:name w:val="Normal Indent"/>
    <w:basedOn w:val="1"/>
    <w:semiHidden/>
    <w:unhideWhenUsed/>
    <w:qFormat/>
    <w:uiPriority w:val="99"/>
    <w:pPr>
      <w:ind w:right="-11" w:firstLine="420" w:firstLineChars="200"/>
    </w:pPr>
  </w:style>
  <w:style w:type="paragraph" w:styleId="6">
    <w:name w:val="toc 7"/>
    <w:basedOn w:val="1"/>
    <w:next w:val="1"/>
    <w:unhideWhenUsed/>
    <w:qFormat/>
    <w:uiPriority w:val="39"/>
    <w:pPr>
      <w:ind w:left="2520" w:leftChars="1200"/>
    </w:pPr>
  </w:style>
  <w:style w:type="paragraph" w:styleId="7">
    <w:name w:val="annotation text"/>
    <w:basedOn w:val="1"/>
    <w:link w:val="48"/>
    <w:qFormat/>
    <w:uiPriority w:val="0"/>
    <w:pPr>
      <w:jc w:val="left"/>
    </w:pPr>
    <w:rPr>
      <w:rFonts w:ascii="Times New Roman" w:hAnsi="Times New Roman" w:eastAsia="宋体" w:cs="Times New Roman"/>
      <w:szCs w:val="24"/>
    </w:rPr>
  </w:style>
  <w:style w:type="paragraph" w:styleId="8">
    <w:name w:val="Body Text 3"/>
    <w:basedOn w:val="1"/>
    <w:link w:val="40"/>
    <w:qFormat/>
    <w:uiPriority w:val="0"/>
    <w:rPr>
      <w:rFonts w:ascii="宋体" w:eastAsia="宋体"/>
      <w:sz w:val="24"/>
    </w:rPr>
  </w:style>
  <w:style w:type="paragraph" w:styleId="9">
    <w:name w:val="Body Text"/>
    <w:basedOn w:val="1"/>
    <w:link w:val="44"/>
    <w:qFormat/>
    <w:uiPriority w:val="0"/>
    <w:pPr>
      <w:spacing w:after="120" w:line="360" w:lineRule="auto"/>
    </w:pPr>
    <w:rPr>
      <w:rFonts w:ascii="Times New Roman" w:hAnsi="Times New Roman" w:eastAsia="宋体" w:cs="Times New Roman"/>
      <w:szCs w:val="20"/>
    </w:rPr>
  </w:style>
  <w:style w:type="paragraph" w:styleId="10">
    <w:name w:val="toc 5"/>
    <w:basedOn w:val="1"/>
    <w:next w:val="1"/>
    <w:unhideWhenUsed/>
    <w:qFormat/>
    <w:uiPriority w:val="39"/>
    <w:pPr>
      <w:ind w:left="1680" w:leftChars="800"/>
    </w:pPr>
  </w:style>
  <w:style w:type="paragraph" w:styleId="11">
    <w:name w:val="toc 3"/>
    <w:basedOn w:val="1"/>
    <w:next w:val="1"/>
    <w:unhideWhenUsed/>
    <w:qFormat/>
    <w:uiPriority w:val="39"/>
    <w:pPr>
      <w:ind w:left="840" w:leftChars="400" w:right="-11"/>
    </w:pPr>
  </w:style>
  <w:style w:type="paragraph" w:styleId="12">
    <w:name w:val="toc 8"/>
    <w:basedOn w:val="1"/>
    <w:next w:val="1"/>
    <w:unhideWhenUsed/>
    <w:qFormat/>
    <w:uiPriority w:val="39"/>
    <w:pPr>
      <w:ind w:left="2940" w:leftChars="1400"/>
    </w:pPr>
  </w:style>
  <w:style w:type="paragraph" w:styleId="13">
    <w:name w:val="Balloon Text"/>
    <w:basedOn w:val="1"/>
    <w:link w:val="47"/>
    <w:qFormat/>
    <w:uiPriority w:val="99"/>
    <w:rPr>
      <w:rFonts w:ascii="Times New Roman" w:hAnsi="Times New Roman" w:eastAsia="宋体" w:cs="Times New Roman"/>
      <w:sz w:val="18"/>
      <w:szCs w:val="18"/>
    </w:rPr>
  </w:style>
  <w:style w:type="paragraph" w:styleId="14">
    <w:name w:val="footer"/>
    <w:basedOn w:val="1"/>
    <w:link w:val="45"/>
    <w:qFormat/>
    <w:uiPriority w:val="99"/>
    <w:pPr>
      <w:widowControl/>
      <w:tabs>
        <w:tab w:val="center" w:pos="4153"/>
        <w:tab w:val="right" w:pos="8306"/>
      </w:tabs>
      <w:snapToGrid w:val="0"/>
      <w:jc w:val="left"/>
    </w:pPr>
    <w:rPr>
      <w:rFonts w:ascii="Times New Roman" w:hAnsi="Times New Roman" w:eastAsia="宋体" w:cs="Times New Roman"/>
      <w:kern w:val="0"/>
      <w:sz w:val="18"/>
      <w:szCs w:val="18"/>
    </w:rPr>
  </w:style>
  <w:style w:type="paragraph" w:styleId="15">
    <w:name w:val="header"/>
    <w:basedOn w:val="1"/>
    <w:link w:val="46"/>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6">
    <w:name w:val="toc 1"/>
    <w:basedOn w:val="1"/>
    <w:next w:val="1"/>
    <w:qFormat/>
    <w:uiPriority w:val="39"/>
    <w:pPr>
      <w:tabs>
        <w:tab w:val="right" w:leader="dot" w:pos="9030"/>
      </w:tabs>
      <w:spacing w:line="560" w:lineRule="exact"/>
      <w:ind w:right="-11"/>
      <w:jc w:val="left"/>
    </w:pPr>
    <w:rPr>
      <w:rFonts w:ascii="宋体" w:hAnsi="宋体" w:eastAsia="宋体" w:cs="宋体"/>
      <w:b/>
      <w:bCs/>
      <w:sz w:val="30"/>
      <w:szCs w:val="30"/>
    </w:rPr>
  </w:style>
  <w:style w:type="paragraph" w:styleId="17">
    <w:name w:val="toc 4"/>
    <w:basedOn w:val="1"/>
    <w:next w:val="1"/>
    <w:unhideWhenUsed/>
    <w:qFormat/>
    <w:uiPriority w:val="39"/>
    <w:pPr>
      <w:ind w:left="1260" w:leftChars="600"/>
    </w:pPr>
  </w:style>
  <w:style w:type="paragraph" w:styleId="18">
    <w:name w:val="toc 6"/>
    <w:basedOn w:val="1"/>
    <w:next w:val="1"/>
    <w:unhideWhenUsed/>
    <w:qFormat/>
    <w:uiPriority w:val="39"/>
    <w:pPr>
      <w:ind w:left="2100" w:leftChars="1000"/>
    </w:pPr>
  </w:style>
  <w:style w:type="paragraph" w:styleId="19">
    <w:name w:val="toc 2"/>
    <w:basedOn w:val="1"/>
    <w:next w:val="1"/>
    <w:unhideWhenUsed/>
    <w:qFormat/>
    <w:uiPriority w:val="39"/>
    <w:pPr>
      <w:ind w:left="420" w:leftChars="200" w:right="-11"/>
    </w:pPr>
  </w:style>
  <w:style w:type="paragraph" w:styleId="20">
    <w:name w:val="toc 9"/>
    <w:basedOn w:val="1"/>
    <w:next w:val="1"/>
    <w:unhideWhenUsed/>
    <w:qFormat/>
    <w:uiPriority w:val="39"/>
    <w:pPr>
      <w:ind w:left="3360" w:leftChars="1600"/>
    </w:pPr>
  </w:style>
  <w:style w:type="paragraph" w:styleId="21">
    <w:name w:val="HTML Preformatted"/>
    <w:basedOn w:val="1"/>
    <w:link w:val="5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eastAsia="宋体" w:cs="Times New Roman"/>
      <w:szCs w:val="24"/>
    </w:rPr>
  </w:style>
  <w:style w:type="paragraph" w:styleId="22">
    <w:name w:val="Normal (Web)"/>
    <w:basedOn w:val="1"/>
    <w:qFormat/>
    <w:uiPriority w:val="0"/>
    <w:pPr>
      <w:spacing w:before="100" w:beforeAutospacing="1" w:after="100" w:afterAutospacing="1"/>
      <w:jc w:val="left"/>
    </w:pPr>
    <w:rPr>
      <w:rFonts w:cs="Times New Roman"/>
      <w:kern w:val="0"/>
      <w:sz w:val="24"/>
    </w:rPr>
  </w:style>
  <w:style w:type="paragraph" w:styleId="23">
    <w:name w:val="Title"/>
    <w:basedOn w:val="1"/>
    <w:next w:val="1"/>
    <w:link w:val="33"/>
    <w:qFormat/>
    <w:uiPriority w:val="10"/>
    <w:pPr>
      <w:spacing w:before="240" w:after="60"/>
      <w:ind w:right="-11"/>
      <w:jc w:val="center"/>
      <w:outlineLvl w:val="0"/>
    </w:pPr>
    <w:rPr>
      <w:rFonts w:asciiTheme="majorHAnsi" w:hAnsiTheme="majorHAnsi" w:cstheme="majorBidi"/>
      <w:b/>
      <w:bCs/>
      <w:sz w:val="44"/>
      <w:szCs w:val="32"/>
    </w:rPr>
  </w:style>
  <w:style w:type="paragraph" w:styleId="24">
    <w:name w:val="annotation subject"/>
    <w:basedOn w:val="7"/>
    <w:next w:val="7"/>
    <w:link w:val="49"/>
    <w:qFormat/>
    <w:uiPriority w:val="0"/>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Hyperlink"/>
    <w:unhideWhenUsed/>
    <w:qFormat/>
    <w:uiPriority w:val="99"/>
    <w:rPr>
      <w:color w:val="0000FF"/>
      <w:u w:val="single"/>
    </w:rPr>
  </w:style>
  <w:style w:type="character" w:styleId="29">
    <w:name w:val="annotation reference"/>
    <w:basedOn w:val="27"/>
    <w:qFormat/>
    <w:uiPriority w:val="0"/>
    <w:rPr>
      <w:sz w:val="21"/>
      <w:szCs w:val="21"/>
    </w:rPr>
  </w:style>
  <w:style w:type="character" w:customStyle="1" w:styleId="30">
    <w:name w:val="标题 1 字符"/>
    <w:basedOn w:val="27"/>
    <w:link w:val="2"/>
    <w:qFormat/>
    <w:uiPriority w:val="99"/>
    <w:rPr>
      <w:rFonts w:ascii="Times New Roman" w:hAnsi="Times New Roman" w:eastAsia="宋体" w:cs="Times New Roman"/>
      <w:b/>
      <w:kern w:val="44"/>
      <w:sz w:val="36"/>
      <w:szCs w:val="36"/>
    </w:rPr>
  </w:style>
  <w:style w:type="character" w:customStyle="1" w:styleId="31">
    <w:name w:val="标题 2 字符1"/>
    <w:basedOn w:val="27"/>
    <w:link w:val="3"/>
    <w:qFormat/>
    <w:uiPriority w:val="9"/>
    <w:rPr>
      <w:rFonts w:ascii="Arial" w:hAnsi="Arial" w:eastAsia="宋体" w:cs="Times New Roman"/>
      <w:b/>
      <w:sz w:val="32"/>
      <w:szCs w:val="20"/>
    </w:rPr>
  </w:style>
  <w:style w:type="character" w:customStyle="1" w:styleId="32">
    <w:name w:val="标题 3 字符"/>
    <w:basedOn w:val="27"/>
    <w:link w:val="5"/>
    <w:qFormat/>
    <w:uiPriority w:val="9"/>
    <w:rPr>
      <w:rFonts w:ascii="宋体"/>
      <w:b/>
      <w:sz w:val="24"/>
    </w:rPr>
  </w:style>
  <w:style w:type="character" w:customStyle="1" w:styleId="33">
    <w:name w:val="标题 字符1"/>
    <w:basedOn w:val="27"/>
    <w:link w:val="23"/>
    <w:qFormat/>
    <w:uiPriority w:val="10"/>
    <w:rPr>
      <w:rFonts w:asciiTheme="majorHAnsi" w:hAnsiTheme="majorHAnsi" w:cstheme="majorBidi"/>
      <w:b/>
      <w:bCs/>
      <w:sz w:val="44"/>
      <w:szCs w:val="32"/>
    </w:rPr>
  </w:style>
  <w:style w:type="paragraph" w:styleId="34">
    <w:name w:val="No Spacing"/>
    <w:qFormat/>
    <w:uiPriority w:val="1"/>
    <w:pPr>
      <w:widowControl w:val="0"/>
      <w:jc w:val="both"/>
    </w:pPr>
    <w:rPr>
      <w:rFonts w:ascii="Times New Roman" w:hAnsi="Times New Roman" w:eastAsia="宋体" w:cs="Times New Roman"/>
      <w:kern w:val="2"/>
      <w:sz w:val="21"/>
      <w:lang w:val="en-US" w:eastAsia="zh-CN" w:bidi="ar-SA"/>
    </w:rPr>
  </w:style>
  <w:style w:type="character" w:customStyle="1" w:styleId="35">
    <w:name w:val="标题 2 字符"/>
    <w:qFormat/>
    <w:uiPriority w:val="9"/>
    <w:rPr>
      <w:rFonts w:ascii="新宋体" w:hAnsi="新宋体" w:eastAsia="新宋体"/>
      <w:b/>
      <w:bCs/>
      <w:kern w:val="2"/>
      <w:sz w:val="32"/>
      <w:szCs w:val="32"/>
      <w:lang w:val="zh-CN"/>
    </w:rPr>
  </w:style>
  <w:style w:type="paragraph" w:customStyle="1" w:styleId="36">
    <w:name w:val="样式 标题 3 + (中文) 黑体 小四 非加粗 段前: 7.8 磅 段后: 0 磅 行距: 固定值 20 磅"/>
    <w:basedOn w:val="5"/>
    <w:qFormat/>
    <w:uiPriority w:val="0"/>
    <w:pPr>
      <w:adjustRightInd/>
      <w:snapToGrid/>
      <w:spacing w:before="0" w:after="0" w:line="400" w:lineRule="exact"/>
      <w:ind w:right="0" w:firstLine="0" w:firstLineChars="0"/>
    </w:pPr>
    <w:rPr>
      <w:rFonts w:ascii="Times New Roman" w:hAnsi="Times New Roman" w:eastAsia="黑体" w:cs="Times New Roman"/>
      <w:b w:val="0"/>
      <w:szCs w:val="20"/>
    </w:rPr>
  </w:style>
  <w:style w:type="character" w:customStyle="1" w:styleId="37">
    <w:name w:val="标题 字符"/>
    <w:qFormat/>
    <w:uiPriority w:val="10"/>
    <w:rPr>
      <w:rFonts w:ascii="Cambria" w:hAnsi="Cambria" w:cs="Times New Roman"/>
      <w:b/>
      <w:bCs/>
      <w:kern w:val="2"/>
      <w:sz w:val="32"/>
      <w:szCs w:val="32"/>
    </w:rPr>
  </w:style>
  <w:style w:type="paragraph" w:styleId="38">
    <w:name w:val="List Paragraph"/>
    <w:basedOn w:val="1"/>
    <w:qFormat/>
    <w:uiPriority w:val="0"/>
    <w:pPr>
      <w:ind w:firstLine="420" w:firstLineChars="200"/>
    </w:pPr>
    <w:rPr>
      <w:rFonts w:ascii="Calibri" w:hAnsi="Calibri" w:eastAsia="宋体" w:cs="Times New Roman"/>
    </w:rPr>
  </w:style>
  <w:style w:type="paragraph" w:customStyle="1" w:styleId="39">
    <w:name w:val="列出段落1"/>
    <w:basedOn w:val="1"/>
    <w:qFormat/>
    <w:uiPriority w:val="0"/>
    <w:pPr>
      <w:ind w:firstLine="420" w:firstLineChars="200"/>
    </w:pPr>
    <w:rPr>
      <w:rFonts w:ascii="Calibri" w:hAnsi="Calibri" w:eastAsia="宋体" w:cs="Times New Roman"/>
      <w:szCs w:val="21"/>
    </w:rPr>
  </w:style>
  <w:style w:type="character" w:customStyle="1" w:styleId="40">
    <w:name w:val="正文文本 3 字符"/>
    <w:link w:val="8"/>
    <w:qFormat/>
    <w:uiPriority w:val="0"/>
    <w:rPr>
      <w:rFonts w:ascii="宋体" w:eastAsia="宋体"/>
      <w:sz w:val="24"/>
    </w:rPr>
  </w:style>
  <w:style w:type="character" w:customStyle="1" w:styleId="41">
    <w:name w:val="正文文本 3 Char1"/>
    <w:basedOn w:val="27"/>
    <w:semiHidden/>
    <w:qFormat/>
    <w:uiPriority w:val="99"/>
    <w:rPr>
      <w:sz w:val="16"/>
      <w:szCs w:val="16"/>
    </w:rPr>
  </w:style>
  <w:style w:type="paragraph" w:customStyle="1" w:styleId="42">
    <w:name w:val="样式 标题 2 + Times New Roman 四号 非加粗 段前: 5 磅 段后: 0 磅 行距: 固定值 20..."/>
    <w:basedOn w:val="3"/>
    <w:qFormat/>
    <w:uiPriority w:val="0"/>
    <w:pPr>
      <w:adjustRightInd/>
      <w:snapToGrid/>
      <w:spacing w:before="100" w:after="0" w:line="400" w:lineRule="exact"/>
      <w:ind w:right="0"/>
      <w:jc w:val="both"/>
    </w:pPr>
    <w:rPr>
      <w:rFonts w:ascii="Times New Roman" w:hAnsi="Times New Roman" w:eastAsia="黑体"/>
      <w:b w:val="0"/>
      <w:sz w:val="28"/>
    </w:rPr>
  </w:style>
  <w:style w:type="paragraph" w:customStyle="1" w:styleId="43">
    <w:name w:val="正文 + 行距: 固定值 20 磅"/>
    <w:basedOn w:val="1"/>
    <w:qFormat/>
    <w:uiPriority w:val="0"/>
    <w:pPr>
      <w:spacing w:line="400" w:lineRule="exact"/>
      <w:ind w:firstLine="716" w:firstLineChars="341"/>
    </w:pPr>
    <w:rPr>
      <w:rFonts w:ascii="Times New Roman" w:hAnsi="Times New Roman" w:eastAsia="宋体" w:cs="Times New Roman"/>
      <w:szCs w:val="20"/>
    </w:rPr>
  </w:style>
  <w:style w:type="character" w:customStyle="1" w:styleId="44">
    <w:name w:val="正文文本 字符"/>
    <w:basedOn w:val="27"/>
    <w:link w:val="9"/>
    <w:qFormat/>
    <w:uiPriority w:val="0"/>
    <w:rPr>
      <w:rFonts w:ascii="Times New Roman" w:hAnsi="Times New Roman" w:eastAsia="宋体" w:cs="Times New Roman"/>
      <w:szCs w:val="20"/>
    </w:rPr>
  </w:style>
  <w:style w:type="character" w:customStyle="1" w:styleId="45">
    <w:name w:val="页脚 字符"/>
    <w:basedOn w:val="27"/>
    <w:link w:val="14"/>
    <w:qFormat/>
    <w:uiPriority w:val="99"/>
    <w:rPr>
      <w:rFonts w:ascii="Times New Roman" w:hAnsi="Times New Roman" w:eastAsia="宋体" w:cs="Times New Roman"/>
      <w:kern w:val="0"/>
      <w:sz w:val="18"/>
      <w:szCs w:val="18"/>
    </w:rPr>
  </w:style>
  <w:style w:type="character" w:customStyle="1" w:styleId="46">
    <w:name w:val="页眉 字符"/>
    <w:basedOn w:val="27"/>
    <w:link w:val="15"/>
    <w:qFormat/>
    <w:uiPriority w:val="99"/>
    <w:rPr>
      <w:rFonts w:ascii="Times New Roman" w:hAnsi="Times New Roman" w:eastAsia="宋体" w:cs="Times New Roman"/>
      <w:sz w:val="18"/>
      <w:szCs w:val="18"/>
    </w:rPr>
  </w:style>
  <w:style w:type="character" w:customStyle="1" w:styleId="47">
    <w:name w:val="批注框文本 字符"/>
    <w:basedOn w:val="27"/>
    <w:link w:val="13"/>
    <w:qFormat/>
    <w:uiPriority w:val="99"/>
    <w:rPr>
      <w:rFonts w:ascii="Times New Roman" w:hAnsi="Times New Roman" w:eastAsia="宋体" w:cs="Times New Roman"/>
      <w:sz w:val="18"/>
      <w:szCs w:val="18"/>
    </w:rPr>
  </w:style>
  <w:style w:type="character" w:customStyle="1" w:styleId="48">
    <w:name w:val="批注文字 字符"/>
    <w:basedOn w:val="27"/>
    <w:link w:val="7"/>
    <w:qFormat/>
    <w:uiPriority w:val="0"/>
    <w:rPr>
      <w:rFonts w:ascii="Times New Roman" w:hAnsi="Times New Roman" w:eastAsia="宋体" w:cs="Times New Roman"/>
      <w:szCs w:val="24"/>
    </w:rPr>
  </w:style>
  <w:style w:type="character" w:customStyle="1" w:styleId="49">
    <w:name w:val="批注主题 字符"/>
    <w:basedOn w:val="48"/>
    <w:link w:val="24"/>
    <w:qFormat/>
    <w:uiPriority w:val="0"/>
    <w:rPr>
      <w:rFonts w:ascii="Times New Roman" w:hAnsi="Times New Roman" w:eastAsia="宋体" w:cs="Times New Roman"/>
      <w:b/>
      <w:bCs/>
      <w:szCs w:val="24"/>
    </w:rPr>
  </w:style>
  <w:style w:type="paragraph" w:customStyle="1" w:styleId="50">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修订11"/>
    <w:hidden/>
    <w:unhideWhenUsed/>
    <w:qFormat/>
    <w:uiPriority w:val="99"/>
    <w:rPr>
      <w:rFonts w:ascii="Times New Roman" w:hAnsi="Times New Roman" w:eastAsia="宋体" w:cs="Times New Roman"/>
      <w:kern w:val="2"/>
      <w:sz w:val="21"/>
      <w:szCs w:val="24"/>
      <w:lang w:val="en-US" w:eastAsia="zh-CN" w:bidi="ar-SA"/>
    </w:rPr>
  </w:style>
  <w:style w:type="character" w:customStyle="1" w:styleId="52">
    <w:name w:val="HTML 预设格式 字符"/>
    <w:basedOn w:val="27"/>
    <w:link w:val="21"/>
    <w:qFormat/>
    <w:uiPriority w:val="99"/>
    <w:rPr>
      <w:rFonts w:ascii="Arial" w:hAnsi="Arial" w:eastAsia="宋体" w:cs="Times New Roman"/>
      <w:szCs w:val="24"/>
    </w:rPr>
  </w:style>
  <w:style w:type="paragraph" w:customStyle="1" w:styleId="53">
    <w:name w:val="xl65"/>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54">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6">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eastAsia="宋体" w:cs="宋体"/>
      <w:kern w:val="0"/>
      <w:sz w:val="20"/>
      <w:szCs w:val="20"/>
    </w:rPr>
  </w:style>
  <w:style w:type="paragraph" w:customStyle="1" w:styleId="5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59">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6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2">
    <w:name w:val="p15"/>
    <w:basedOn w:val="1"/>
    <w:qFormat/>
    <w:uiPriority w:val="0"/>
    <w:pPr>
      <w:widowControl/>
      <w:ind w:firstLine="420"/>
    </w:pPr>
    <w:rPr>
      <w:rFonts w:ascii="Calibri" w:hAnsi="Calibri" w:eastAsia="宋体" w:cs="宋体"/>
      <w:kern w:val="0"/>
      <w:szCs w:val="21"/>
    </w:rPr>
  </w:style>
  <w:style w:type="character" w:customStyle="1" w:styleId="63">
    <w:name w:val="font31"/>
    <w:basedOn w:val="27"/>
    <w:uiPriority w:val="0"/>
    <w:rPr>
      <w:rFonts w:hint="eastAsia" w:ascii="宋体" w:hAnsi="宋体" w:eastAsia="宋体" w:cs="宋体"/>
      <w:color w:val="FF0000"/>
      <w:sz w:val="20"/>
      <w:szCs w:val="20"/>
      <w:u w:val="none"/>
    </w:rPr>
  </w:style>
  <w:style w:type="character" w:customStyle="1" w:styleId="64">
    <w:name w:val="font01"/>
    <w:basedOn w:val="2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2414</Words>
  <Characters>2438</Characters>
  <Lines>21</Lines>
  <Paragraphs>6</Paragraphs>
  <TotalTime>0</TotalTime>
  <ScaleCrop>false</ScaleCrop>
  <LinksUpToDate>false</LinksUpToDate>
  <CharactersWithSpaces>2438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2021-05-18T01:21:00Z</dcterms:created>
  <dc:creator>lujinzhi</dc:creator>
  <cp:lastModifiedBy>錢鎐</cp:lastModifiedBy>
  <dcterms:modified xsi:type="dcterms:W3CDTF">2022-06-06T01:20:56Z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FE1C81D6C44F4BB7A33A73D09F36969E</vt:lpwstr>
  </property>
</Properties>
</file>