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楷体" w:hAnsi="华文楷体" w:eastAsia="华文楷体" w:cs="华文楷体"/>
          <w:b/>
          <w:sz w:val="40"/>
          <w:szCs w:val="40"/>
        </w:rPr>
      </w:pPr>
      <w:r>
        <w:rPr>
          <w:rFonts w:hint="eastAsia" w:ascii="华文楷体" w:hAnsi="华文楷体" w:eastAsia="华文楷体" w:cs="华文楷体"/>
          <w:b/>
          <w:sz w:val="40"/>
          <w:szCs w:val="40"/>
        </w:rPr>
        <w:t>清单编制说明</w:t>
      </w:r>
    </w:p>
    <w:p>
      <w:pPr>
        <w:numPr>
          <w:ilvl w:val="0"/>
          <w:numId w:val="1"/>
        </w:num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工程概况</w:t>
      </w:r>
    </w:p>
    <w:p>
      <w:pPr>
        <w:pStyle w:val="22"/>
        <w:widowControl/>
        <w:spacing w:before="0" w:beforeAutospacing="0" w:after="0" w:afterAutospacing="0" w:line="360" w:lineRule="auto"/>
        <w:ind w:firstLine="560" w:firstLineChars="200"/>
        <w:rPr>
          <w:rFonts w:hint="eastAsia" w:ascii="华文楷体" w:hAnsi="华文楷体" w:eastAsia="华文楷体" w:cs="华文楷体"/>
          <w:sz w:val="28"/>
          <w:szCs w:val="28"/>
          <w:highlight w:val="none"/>
        </w:rPr>
      </w:pPr>
      <w:r>
        <w:rPr>
          <w:rFonts w:hint="eastAsia" w:ascii="华文楷体" w:hAnsi="华文楷体" w:eastAsia="华文楷体" w:cs="华文楷体"/>
          <w:sz w:val="28"/>
          <w:szCs w:val="28"/>
          <w:highlight w:val="none"/>
        </w:rPr>
        <w:t>西南楼-室外污水改造工程项目位于南京大学鼓楼校区，项目内容:南京大学西南楼室外污水管网改造等。</w:t>
      </w:r>
    </w:p>
    <w:p>
      <w:pPr>
        <w:pStyle w:val="22"/>
        <w:widowControl/>
        <w:spacing w:before="0" w:beforeAutospacing="0" w:after="0" w:afterAutospacing="0" w:line="360" w:lineRule="auto"/>
        <w:ind w:firstLine="560" w:firstLineChars="200"/>
        <w:rPr>
          <w:rFonts w:ascii="华文楷体" w:hAnsi="华文楷体" w:eastAsia="华文楷体" w:cs="华文楷体"/>
          <w:kern w:val="2"/>
          <w:sz w:val="28"/>
          <w:szCs w:val="28"/>
          <w:highlight w:val="none"/>
        </w:rPr>
      </w:pPr>
      <w:r>
        <w:rPr>
          <w:rFonts w:hint="eastAsia" w:ascii="华文楷体" w:hAnsi="华文楷体" w:eastAsia="华文楷体" w:cs="华文楷体"/>
          <w:kern w:val="2"/>
          <w:sz w:val="28"/>
          <w:szCs w:val="28"/>
          <w:highlight w:val="none"/>
        </w:rPr>
        <w:t xml:space="preserve">施工的范围: </w:t>
      </w:r>
      <w:r>
        <w:rPr>
          <w:rFonts w:hint="eastAsia" w:ascii="华文楷体" w:hAnsi="华文楷体" w:eastAsia="华文楷体" w:cs="华文楷体"/>
          <w:kern w:val="2"/>
          <w:sz w:val="28"/>
          <w:szCs w:val="28"/>
          <w:lang w:val="en-US" w:eastAsia="zh-CN"/>
        </w:rPr>
        <w:t>南京大学西南楼室外污水管网，</w:t>
      </w:r>
      <w:r>
        <w:rPr>
          <w:rFonts w:hint="eastAsia" w:ascii="华文楷体" w:hAnsi="华文楷体" w:eastAsia="华文楷体" w:cs="华文楷体"/>
          <w:kern w:val="2"/>
          <w:sz w:val="28"/>
          <w:szCs w:val="28"/>
          <w:highlight w:val="none"/>
        </w:rPr>
        <w:t>详见施工图。</w:t>
      </w:r>
    </w:p>
    <w:p>
      <w:pPr>
        <w:numPr>
          <w:ilvl w:val="0"/>
          <w:numId w:val="1"/>
        </w:numPr>
        <w:spacing w:line="360" w:lineRule="auto"/>
        <w:rPr>
          <w:rFonts w:ascii="华文楷体" w:hAnsi="华文楷体" w:eastAsia="华文楷体" w:cs="华文楷体"/>
          <w:b/>
          <w:bCs/>
          <w:sz w:val="28"/>
          <w:szCs w:val="28"/>
          <w:highlight w:val="none"/>
        </w:rPr>
      </w:pPr>
      <w:r>
        <w:rPr>
          <w:rFonts w:hint="eastAsia" w:ascii="华文楷体" w:hAnsi="华文楷体" w:eastAsia="华文楷体" w:cs="华文楷体"/>
          <w:b/>
          <w:bCs/>
          <w:sz w:val="28"/>
          <w:szCs w:val="28"/>
          <w:highlight w:val="none"/>
        </w:rPr>
        <w:t>工程招标和分包范围</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highlight w:val="none"/>
        </w:rPr>
        <w:t>本项目招标清单范围等所有内容，本</w:t>
      </w:r>
      <w:r>
        <w:rPr>
          <w:rFonts w:hint="eastAsia" w:ascii="华文楷体" w:hAnsi="华文楷体" w:eastAsia="华文楷体" w:cs="华文楷体"/>
          <w:sz w:val="28"/>
          <w:szCs w:val="28"/>
        </w:rPr>
        <w:t>项目共一个标段，无其它专业分包项。</w:t>
      </w:r>
    </w:p>
    <w:p>
      <w:p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三、编制依据</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rPr>
        <w:t>1、现场实际勘查。</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rPr>
        <w:t>2、《省住房城乡建设厅关于&lt;建设工程工程量清单计价规范&gt;（GB50500—2013）及其9本工程量计算规范的贯彻意见》（苏建价〔2014〕448号）。</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rPr>
        <w:t>3、《省住房城乡建设厅关于建筑业实施营改增后江苏省建设工程计价依据调整的通知》（苏建价〔2016〕154号）中不可竞争费用的规定。</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rPr>
        <w:t>4、《省住房城乡建设厅关于调整建设工程计价增值税税率的通知》（苏建函价﹝2019﹞178号）。</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rPr>
        <w:t>5、其它文件等。</w:t>
      </w:r>
    </w:p>
    <w:p>
      <w:p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四、图纸及工程量计算中的相关说明</w:t>
      </w:r>
    </w:p>
    <w:p>
      <w:pPr>
        <w:pStyle w:val="22"/>
        <w:widowControl/>
        <w:spacing w:before="0" w:beforeAutospacing="0" w:after="0" w:afterAutospacing="0"/>
        <w:ind w:firstLine="560" w:firstLineChars="200"/>
        <w:rPr>
          <w:rFonts w:ascii="华文楷体" w:hAnsi="华文楷体" w:eastAsia="华文楷体" w:cs="华文楷体"/>
          <w:kern w:val="2"/>
          <w:sz w:val="28"/>
          <w:szCs w:val="28"/>
        </w:rPr>
      </w:pPr>
      <w:r>
        <w:rPr>
          <w:rFonts w:hint="eastAsia" w:ascii="华文楷体" w:hAnsi="华文楷体" w:eastAsia="华文楷体" w:cs="华文楷体"/>
          <w:kern w:val="2"/>
          <w:sz w:val="28"/>
          <w:szCs w:val="28"/>
        </w:rPr>
        <w:t>1、通用部分</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rPr>
        <w:t>（1）投标人在投标报价时结合现场实际情况考虑施工防护安全。</w:t>
      </w:r>
    </w:p>
    <w:p>
      <w:pPr>
        <w:autoSpaceDE w:val="0"/>
        <w:autoSpaceDN w:val="0"/>
        <w:adjustRightInd w:val="0"/>
        <w:spacing w:line="360" w:lineRule="auto"/>
        <w:ind w:firstLine="560" w:firstLineChars="200"/>
        <w:jc w:val="left"/>
        <w:rPr>
          <w:rFonts w:ascii="华文楷体" w:hAnsi="华文楷体" w:eastAsia="华文楷体" w:cs="华文楷体"/>
          <w:sz w:val="28"/>
          <w:szCs w:val="28"/>
        </w:rPr>
      </w:pPr>
      <w:r>
        <w:rPr>
          <w:rFonts w:hint="eastAsia" w:ascii="华文楷体" w:hAnsi="华文楷体" w:eastAsia="华文楷体" w:cs="华文楷体"/>
          <w:sz w:val="28"/>
          <w:szCs w:val="28"/>
        </w:rPr>
        <w:t>（2）本工程所需报验、报检费用甲方不予承担，投标人自行考虑计入投标报价；</w:t>
      </w:r>
    </w:p>
    <w:p>
      <w:pPr>
        <w:autoSpaceDE w:val="0"/>
        <w:autoSpaceDN w:val="0"/>
        <w:adjustRightInd w:val="0"/>
        <w:spacing w:line="360" w:lineRule="auto"/>
        <w:ind w:firstLine="560" w:firstLineChars="200"/>
        <w:jc w:val="left"/>
        <w:rPr>
          <w:rFonts w:ascii="华文楷体" w:hAnsi="华文楷体" w:eastAsia="华文楷体" w:cs="华文楷体"/>
          <w:sz w:val="28"/>
          <w:szCs w:val="28"/>
          <w:lang w:val="zh-CN"/>
        </w:rPr>
      </w:pPr>
      <w:r>
        <w:rPr>
          <w:rFonts w:hint="eastAsia" w:ascii="华文楷体" w:hAnsi="华文楷体" w:eastAsia="华文楷体" w:cs="华文楷体"/>
          <w:sz w:val="28"/>
          <w:szCs w:val="28"/>
        </w:rPr>
        <w:t>（3）</w:t>
      </w:r>
      <w:r>
        <w:rPr>
          <w:rFonts w:hint="eastAsia" w:ascii="华文楷体" w:hAnsi="华文楷体" w:eastAsia="华文楷体" w:cs="华文楷体"/>
          <w:sz w:val="28"/>
          <w:szCs w:val="28"/>
          <w:lang w:val="zh-CN"/>
        </w:rPr>
        <w:t>措施费项目投标单位可自行增添内容，自行报价，未计放部分按优惠考虑，结算时不再调整，投标人在报价中应充分考虑所涉及的各项措施费及风险因素后再进行报价，</w:t>
      </w:r>
      <w:r>
        <w:rPr>
          <w:rFonts w:hint="eastAsia" w:ascii="华文楷体" w:hAnsi="华文楷体" w:eastAsia="华文楷体" w:cs="华文楷体"/>
          <w:sz w:val="28"/>
          <w:szCs w:val="28"/>
        </w:rPr>
        <w:t>不可竞争费按规定报价</w:t>
      </w:r>
      <w:r>
        <w:rPr>
          <w:rFonts w:hint="eastAsia" w:ascii="华文楷体" w:hAnsi="华文楷体" w:eastAsia="华文楷体" w:cs="华文楷体"/>
          <w:sz w:val="28"/>
          <w:szCs w:val="28"/>
          <w:lang w:val="zh-CN"/>
        </w:rPr>
        <w:t>；</w:t>
      </w:r>
    </w:p>
    <w:p>
      <w:pPr>
        <w:autoSpaceDE w:val="0"/>
        <w:autoSpaceDN w:val="0"/>
        <w:adjustRightInd w:val="0"/>
        <w:spacing w:line="360" w:lineRule="auto"/>
        <w:ind w:firstLine="560" w:firstLineChars="200"/>
        <w:jc w:val="left"/>
        <w:rPr>
          <w:rFonts w:ascii="华文楷体" w:hAnsi="华文楷体" w:eastAsia="华文楷体" w:cs="华文楷体"/>
          <w:sz w:val="28"/>
          <w:szCs w:val="28"/>
          <w:lang w:val="zh-CN"/>
        </w:rPr>
      </w:pPr>
      <w:r>
        <w:rPr>
          <w:rFonts w:hint="eastAsia" w:ascii="华文楷体" w:hAnsi="华文楷体" w:eastAsia="华文楷体" w:cs="华文楷体"/>
          <w:sz w:val="28"/>
          <w:szCs w:val="28"/>
        </w:rPr>
        <w:t>（4）</w:t>
      </w:r>
      <w:r>
        <w:rPr>
          <w:rFonts w:hint="eastAsia" w:ascii="华文楷体" w:hAnsi="华文楷体" w:eastAsia="华文楷体" w:cs="华文楷体"/>
          <w:sz w:val="28"/>
          <w:szCs w:val="28"/>
          <w:lang w:val="zh-CN"/>
        </w:rPr>
        <w:t>施工现场、交通运输情况及自然地理条件由投标人自行现场勘察，应充分考虑本工程场地现状的特点，可能对工程施工造成的影响并由此增加的费用等，做出考量一并考虑在投标报价中；</w:t>
      </w:r>
    </w:p>
    <w:p>
      <w:pPr>
        <w:autoSpaceDE w:val="0"/>
        <w:autoSpaceDN w:val="0"/>
        <w:adjustRightInd w:val="0"/>
        <w:spacing w:line="360" w:lineRule="auto"/>
        <w:ind w:firstLine="560" w:firstLineChars="200"/>
        <w:jc w:val="left"/>
        <w:rPr>
          <w:rFonts w:ascii="华文楷体" w:hAnsi="华文楷体" w:eastAsia="华文楷体" w:cs="华文楷体"/>
          <w:sz w:val="28"/>
          <w:szCs w:val="28"/>
          <w:lang w:val="zh-CN"/>
        </w:rPr>
      </w:pPr>
      <w:r>
        <w:rPr>
          <w:rFonts w:hint="eastAsia" w:ascii="华文楷体" w:hAnsi="华文楷体" w:eastAsia="华文楷体" w:cs="华文楷体"/>
          <w:sz w:val="28"/>
          <w:szCs w:val="28"/>
        </w:rPr>
        <w:t>（5）</w:t>
      </w:r>
      <w:r>
        <w:rPr>
          <w:rFonts w:hint="eastAsia" w:ascii="华文楷体" w:hAnsi="华文楷体" w:eastAsia="华文楷体" w:cs="华文楷体"/>
          <w:sz w:val="28"/>
          <w:szCs w:val="28"/>
          <w:lang w:val="zh-CN"/>
        </w:rPr>
        <w:t>清单中项目特征描述</w:t>
      </w:r>
      <w:r>
        <w:rPr>
          <w:rFonts w:hint="eastAsia" w:ascii="华文楷体" w:hAnsi="华文楷体" w:eastAsia="华文楷体" w:cs="华文楷体"/>
          <w:sz w:val="28"/>
          <w:szCs w:val="28"/>
        </w:rPr>
        <w:t>清单的主要特征，</w:t>
      </w:r>
      <w:r>
        <w:rPr>
          <w:rFonts w:hint="eastAsia" w:ascii="华文楷体" w:hAnsi="华文楷体" w:eastAsia="华文楷体" w:cs="华文楷体"/>
          <w:sz w:val="28"/>
          <w:szCs w:val="28"/>
          <w:lang w:val="zh-CN"/>
        </w:rPr>
        <w:t>投标报价时应考虑</w:t>
      </w:r>
      <w:r>
        <w:rPr>
          <w:rFonts w:hint="eastAsia" w:ascii="华文楷体" w:hAnsi="华文楷体" w:eastAsia="华文楷体" w:cs="华文楷体"/>
          <w:sz w:val="28"/>
          <w:szCs w:val="28"/>
        </w:rPr>
        <w:t>现场实际</w:t>
      </w:r>
      <w:r>
        <w:rPr>
          <w:rFonts w:hint="eastAsia" w:ascii="华文楷体" w:hAnsi="华文楷体" w:eastAsia="华文楷体" w:cs="华文楷体"/>
          <w:sz w:val="28"/>
          <w:szCs w:val="28"/>
          <w:lang w:val="zh-CN"/>
        </w:rPr>
        <w:t>所示施工要求等一切费用；</w:t>
      </w:r>
    </w:p>
    <w:p>
      <w:pPr>
        <w:autoSpaceDE w:val="0"/>
        <w:autoSpaceDN w:val="0"/>
        <w:adjustRightInd w:val="0"/>
        <w:spacing w:line="360" w:lineRule="auto"/>
        <w:ind w:firstLine="560" w:firstLineChars="200"/>
        <w:jc w:val="left"/>
        <w:rPr>
          <w:rFonts w:ascii="华文楷体" w:hAnsi="华文楷体" w:eastAsia="华文楷体" w:cs="华文楷体"/>
          <w:sz w:val="28"/>
          <w:szCs w:val="28"/>
          <w:lang w:val="zh-CN"/>
        </w:rPr>
      </w:pPr>
      <w:r>
        <w:rPr>
          <w:rFonts w:hint="eastAsia" w:ascii="华文楷体" w:hAnsi="华文楷体" w:eastAsia="华文楷体" w:cs="华文楷体"/>
          <w:sz w:val="28"/>
          <w:szCs w:val="28"/>
        </w:rPr>
        <w:t>（6）</w:t>
      </w:r>
      <w:r>
        <w:rPr>
          <w:rFonts w:hint="eastAsia" w:ascii="华文楷体" w:hAnsi="华文楷体" w:eastAsia="华文楷体" w:cs="华文楷体"/>
          <w:sz w:val="28"/>
          <w:szCs w:val="28"/>
          <w:lang w:val="zh-CN"/>
        </w:rPr>
        <w:t>工程量清单应与招标文件、招标项目</w:t>
      </w:r>
      <w:r>
        <w:rPr>
          <w:rFonts w:hint="eastAsia" w:ascii="华文楷体" w:hAnsi="华文楷体" w:eastAsia="华文楷体" w:cs="华文楷体"/>
          <w:sz w:val="28"/>
          <w:szCs w:val="28"/>
        </w:rPr>
        <w:t>其它</w:t>
      </w:r>
      <w:r>
        <w:rPr>
          <w:rFonts w:hint="eastAsia" w:ascii="华文楷体" w:hAnsi="华文楷体" w:eastAsia="华文楷体" w:cs="华文楷体"/>
          <w:sz w:val="28"/>
          <w:szCs w:val="28"/>
          <w:lang w:val="zh-CN"/>
        </w:rPr>
        <w:t>文件结合起来查阅与理解。工程量清单中所描述的项目特征仅为招标人对该分部分项目工程特征的概述，而非是工程特征的全面描述，报价时必须按施工</w:t>
      </w:r>
      <w:r>
        <w:rPr>
          <w:rFonts w:hint="eastAsia" w:ascii="华文楷体" w:hAnsi="华文楷体" w:eastAsia="华文楷体" w:cs="华文楷体"/>
          <w:sz w:val="28"/>
          <w:szCs w:val="28"/>
        </w:rPr>
        <w:t>现场实际情况</w:t>
      </w:r>
      <w:r>
        <w:rPr>
          <w:rFonts w:hint="eastAsia" w:ascii="华文楷体" w:hAnsi="华文楷体" w:eastAsia="华文楷体" w:cs="华文楷体"/>
          <w:sz w:val="28"/>
          <w:szCs w:val="28"/>
          <w:lang w:val="zh-CN"/>
        </w:rPr>
        <w:t>及相关的国家规范的要求。</w:t>
      </w:r>
    </w:p>
    <w:p>
      <w:pPr>
        <w:autoSpaceDE w:val="0"/>
        <w:autoSpaceDN w:val="0"/>
        <w:adjustRightInd w:val="0"/>
        <w:spacing w:line="360" w:lineRule="auto"/>
        <w:ind w:firstLine="560" w:firstLineChars="200"/>
        <w:jc w:val="left"/>
        <w:rPr>
          <w:rFonts w:ascii="华文楷体" w:hAnsi="华文楷体" w:eastAsia="华文楷体" w:cs="华文楷体"/>
          <w:sz w:val="28"/>
          <w:szCs w:val="28"/>
          <w:lang w:val="zh-CN"/>
        </w:rPr>
      </w:pPr>
      <w:r>
        <w:rPr>
          <w:rFonts w:hint="eastAsia" w:ascii="华文楷体" w:hAnsi="华文楷体" w:eastAsia="华文楷体" w:cs="华文楷体"/>
          <w:sz w:val="28"/>
          <w:szCs w:val="28"/>
        </w:rPr>
        <w:t>（7）</w:t>
      </w:r>
      <w:r>
        <w:rPr>
          <w:rFonts w:hint="eastAsia" w:ascii="华文楷体" w:hAnsi="华文楷体" w:eastAsia="华文楷体" w:cs="华文楷体"/>
          <w:sz w:val="28"/>
          <w:szCs w:val="28"/>
          <w:lang w:val="zh-CN"/>
        </w:rPr>
        <w:t>投标人在投标文件中应明确主要材料所报的品牌、规格型号及厂家，包括招标文件和工程量清单编制说明中已经列明的品牌或投标人自报材料的品牌，否则招标人有权对没有报品牌的主要材料指定相应的品牌，投标人无权拒绝。</w:t>
      </w:r>
    </w:p>
    <w:p>
      <w:pPr>
        <w:spacing w:line="360" w:lineRule="auto"/>
        <w:ind w:left="0" w:leftChars="0" w:firstLine="638" w:firstLineChars="228"/>
        <w:rPr>
          <w:rFonts w:hint="default" w:ascii="华文楷体" w:hAnsi="华文楷体" w:eastAsia="华文楷体" w:cs="华文楷体"/>
          <w:sz w:val="28"/>
          <w:szCs w:val="28"/>
          <w:lang w:val="en-US" w:eastAsia="zh-CN"/>
        </w:rPr>
      </w:pPr>
      <w:r>
        <w:rPr>
          <w:rFonts w:hint="eastAsia" w:ascii="华文楷体" w:hAnsi="华文楷体" w:eastAsia="华文楷体" w:cs="华文楷体"/>
          <w:sz w:val="28"/>
          <w:szCs w:val="28"/>
        </w:rPr>
        <w:t>2、</w:t>
      </w:r>
      <w:r>
        <w:rPr>
          <w:rFonts w:hint="eastAsia" w:ascii="华文楷体" w:hAnsi="华文楷体" w:eastAsia="华文楷体" w:cs="华文楷体"/>
          <w:sz w:val="28"/>
          <w:szCs w:val="28"/>
          <w:lang w:val="en-US" w:eastAsia="zh-CN"/>
        </w:rPr>
        <w:t>污水管网部分</w:t>
      </w:r>
    </w:p>
    <w:p>
      <w:pPr>
        <w:spacing w:line="360" w:lineRule="auto"/>
        <w:ind w:firstLine="560" w:firstLineChars="200"/>
        <w:rPr>
          <w:rFonts w:hint="eastAsia" w:ascii="华文楷体" w:hAnsi="华文楷体" w:eastAsia="华文楷体" w:cs="华文楷体"/>
          <w:sz w:val="28"/>
          <w:szCs w:val="28"/>
        </w:rPr>
      </w:pPr>
      <w:r>
        <w:rPr>
          <w:rFonts w:hint="eastAsia" w:ascii="华文楷体" w:hAnsi="华文楷体" w:eastAsia="华文楷体" w:cs="华文楷体"/>
          <w:sz w:val="28"/>
          <w:szCs w:val="28"/>
        </w:rPr>
        <w:t>（1）</w:t>
      </w:r>
      <w:r>
        <w:rPr>
          <w:rFonts w:hint="eastAsia" w:ascii="华文楷体" w:hAnsi="华文楷体" w:eastAsia="华文楷体" w:cs="华文楷体"/>
          <w:sz w:val="28"/>
          <w:szCs w:val="28"/>
          <w:lang w:val="en-US" w:eastAsia="zh-CN"/>
        </w:rPr>
        <w:t>路面拆除切割锯缝工序投标人应该含在路面拆除清单报价中综合考虑，结算时此部分费用不予调整</w:t>
      </w:r>
      <w:r>
        <w:rPr>
          <w:rFonts w:hint="eastAsia" w:ascii="华文楷体" w:hAnsi="华文楷体" w:eastAsia="华文楷体" w:cs="华文楷体"/>
          <w:sz w:val="28"/>
          <w:szCs w:val="28"/>
        </w:rPr>
        <w:t>。</w:t>
      </w:r>
    </w:p>
    <w:p>
      <w:pPr>
        <w:autoSpaceDE w:val="0"/>
        <w:autoSpaceDN w:val="0"/>
        <w:adjustRightInd w:val="0"/>
        <w:spacing w:line="360" w:lineRule="auto"/>
        <w:ind w:firstLine="560" w:firstLineChars="200"/>
        <w:jc w:val="left"/>
        <w:rPr>
          <w:rFonts w:hint="eastAsia" w:ascii="华文楷体" w:hAnsi="华文楷体" w:eastAsia="华文楷体" w:cs="华文楷体"/>
          <w:sz w:val="28"/>
          <w:szCs w:val="28"/>
        </w:rPr>
      </w:pPr>
      <w:r>
        <w:rPr>
          <w:rFonts w:hint="eastAsia" w:ascii="华文楷体" w:hAnsi="华文楷体" w:eastAsia="华文楷体" w:cs="华文楷体"/>
          <w:sz w:val="28"/>
          <w:szCs w:val="28"/>
          <w:lang w:val="en-US" w:eastAsia="zh-CN"/>
        </w:rPr>
        <w:t>（2）管道安装综合单价包含三通、弯头、异径管等所有管道附件。</w:t>
      </w:r>
    </w:p>
    <w:p>
      <w:p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五、主要材料设备</w:t>
      </w: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（一）投标人负责采购的主要材料设备</w:t>
      </w: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1、主要材料品牌推荐表如下：</w:t>
      </w:r>
    </w:p>
    <w:tbl>
      <w:tblPr>
        <w:tblStyle w:val="25"/>
        <w:tblW w:w="9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34"/>
        <w:gridCol w:w="1219"/>
        <w:gridCol w:w="2067"/>
        <w:gridCol w:w="4700"/>
        <w:gridCol w:w="1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序号</w:t>
            </w:r>
          </w:p>
        </w:tc>
        <w:tc>
          <w:tcPr>
            <w:tcW w:w="1219"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材料设备名称</w:t>
            </w:r>
          </w:p>
        </w:tc>
        <w:tc>
          <w:tcPr>
            <w:tcW w:w="2067"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推荐品牌</w:t>
            </w:r>
          </w:p>
        </w:tc>
        <w:tc>
          <w:tcPr>
            <w:tcW w:w="4700"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生产商全称</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b/>
                <w:bCs/>
                <w:sz w:val="28"/>
                <w:szCs w:val="28"/>
              </w:rPr>
            </w:pPr>
            <w:r>
              <w:rPr>
                <w:rFonts w:hint="eastAsia" w:ascii="华文楷体" w:hAnsi="华文楷体" w:eastAsia="华文楷体" w:cs="华文楷体"/>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restart"/>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r>
              <w:rPr>
                <w:rFonts w:hint="eastAsia" w:ascii="宋体" w:hAnsi="宋体" w:eastAsia="宋体" w:cs="宋体"/>
                <w:color w:val="000000"/>
                <w:kern w:val="0"/>
                <w:sz w:val="20"/>
                <w:szCs w:val="20"/>
                <w:lang w:bidi="ar"/>
              </w:rPr>
              <w:t>1</w:t>
            </w:r>
          </w:p>
        </w:tc>
        <w:tc>
          <w:tcPr>
            <w:tcW w:w="1219" w:type="dxa"/>
            <w:vMerge w:val="restart"/>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color w:val="000000" w:themeColor="text1"/>
                <w:kern w:val="0"/>
                <w:sz w:val="28"/>
                <w:szCs w:val="28"/>
                <w:lang w:bidi="ar"/>
                <w14:textFill>
                  <w14:solidFill>
                    <w14:schemeClr w14:val="tx1"/>
                  </w14:solidFill>
                </w14:textFill>
              </w:rPr>
            </w:pPr>
            <w:r>
              <w:rPr>
                <w:rFonts w:hint="eastAsia" w:ascii="宋体" w:hAnsi="宋体" w:eastAsia="宋体" w:cs="宋体"/>
                <w:color w:val="000000"/>
                <w:kern w:val="0"/>
                <w:sz w:val="20"/>
                <w:szCs w:val="20"/>
                <w:lang w:bidi="ar"/>
              </w:rPr>
              <w:t>水泥</w:t>
            </w:r>
          </w:p>
        </w:tc>
        <w:tc>
          <w:tcPr>
            <w:tcW w:w="2067"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eastAsia="宋体" w:cs="宋体"/>
                <w:color w:val="000000"/>
                <w:kern w:val="0"/>
                <w:sz w:val="20"/>
                <w:szCs w:val="20"/>
                <w:lang w:bidi="ar"/>
              </w:rPr>
            </w:pPr>
            <w:r>
              <w:rPr>
                <w:rFonts w:hint="eastAsia"/>
              </w:rPr>
              <w:t>海螺</w:t>
            </w:r>
          </w:p>
        </w:tc>
        <w:tc>
          <w:tcPr>
            <w:tcW w:w="47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eastAsia="宋体" w:cs="宋体"/>
                <w:color w:val="000000"/>
                <w:kern w:val="0"/>
                <w:sz w:val="20"/>
                <w:szCs w:val="20"/>
                <w:lang w:bidi="ar"/>
              </w:rPr>
            </w:pPr>
            <w:r>
              <w:rPr>
                <w:rFonts w:hint="eastAsia"/>
              </w:rPr>
              <w:t>安徽海螺水泥股份有限公司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eastAsia="宋体" w:cs="宋体"/>
                <w:color w:val="000000"/>
                <w:kern w:val="0"/>
                <w:sz w:val="20"/>
                <w:szCs w:val="20"/>
                <w:lang w:bidi="ar"/>
              </w:rPr>
            </w:pPr>
            <w:r>
              <w:rPr>
                <w:rFonts w:hint="eastAsia"/>
              </w:rPr>
              <w:t>鹤林</w:t>
            </w:r>
          </w:p>
        </w:tc>
        <w:tc>
          <w:tcPr>
            <w:tcW w:w="47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eastAsia="宋体" w:cs="宋体"/>
                <w:color w:val="000000"/>
                <w:kern w:val="0"/>
                <w:sz w:val="20"/>
                <w:szCs w:val="20"/>
                <w:lang w:bidi="ar"/>
              </w:rPr>
            </w:pPr>
            <w:r>
              <w:rPr>
                <w:rFonts w:hint="eastAsia"/>
              </w:rPr>
              <w:t>江苏鹤林水泥有限公司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eastAsia="宋体" w:cs="宋体"/>
                <w:color w:val="000000"/>
                <w:kern w:val="0"/>
                <w:sz w:val="20"/>
                <w:szCs w:val="20"/>
                <w:lang w:bidi="ar"/>
              </w:rPr>
            </w:pPr>
            <w:r>
              <w:rPr>
                <w:rFonts w:hint="eastAsia"/>
              </w:rPr>
              <w:t>中联</w:t>
            </w:r>
          </w:p>
        </w:tc>
        <w:tc>
          <w:tcPr>
            <w:tcW w:w="47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eastAsia="宋体" w:cs="宋体"/>
                <w:color w:val="000000"/>
                <w:kern w:val="0"/>
                <w:sz w:val="20"/>
                <w:szCs w:val="20"/>
                <w:lang w:bidi="ar"/>
              </w:rPr>
            </w:pPr>
            <w:r>
              <w:rPr>
                <w:rFonts w:hint="eastAsia"/>
              </w:rPr>
              <w:t>中国联合水泥集团有限公司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restart"/>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r>
              <w:rPr>
                <w:rFonts w:hint="eastAsia" w:ascii="宋体" w:hAnsi="宋体" w:eastAsia="宋体" w:cs="宋体"/>
                <w:color w:val="000000"/>
                <w:kern w:val="0"/>
                <w:sz w:val="20"/>
                <w:szCs w:val="20"/>
                <w:lang w:val="en-US" w:eastAsia="zh-CN" w:bidi="ar"/>
              </w:rPr>
              <w:t>2</w:t>
            </w:r>
          </w:p>
        </w:tc>
        <w:tc>
          <w:tcPr>
            <w:tcW w:w="1219" w:type="dxa"/>
            <w:vMerge w:val="restart"/>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r>
              <w:rPr>
                <w:rFonts w:hint="eastAsia" w:ascii="宋体" w:hAnsi="宋体" w:eastAsia="宋体" w:cs="宋体"/>
                <w:color w:val="000000"/>
                <w:kern w:val="0"/>
                <w:sz w:val="20"/>
                <w:szCs w:val="20"/>
                <w:lang w:bidi="ar"/>
              </w:rPr>
              <w:t>(热镀锌)钢管、焊接钢管、热浸锌钢管</w:t>
            </w:r>
          </w:p>
        </w:tc>
        <w:tc>
          <w:tcPr>
            <w:tcW w:w="2067"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天虹</w:t>
            </w:r>
          </w:p>
        </w:tc>
        <w:tc>
          <w:tcPr>
            <w:tcW w:w="47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rPr>
              <w:t>邯郸正大制管集团股份有限公司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金洲</w:t>
            </w:r>
          </w:p>
        </w:tc>
        <w:tc>
          <w:tcPr>
            <w:tcW w:w="47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rPr>
              <w:t>浙江金洲管道科技股份有限公司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ascii="华文楷体" w:hAnsi="华文楷体" w:eastAsia="华文楷体" w:cs="华文楷体"/>
                <w:color w:val="000000" w:themeColor="text1"/>
                <w:kern w:val="0"/>
                <w:sz w:val="28"/>
                <w:szCs w:val="28"/>
                <w:lang w:bidi="ar"/>
                <w14:textFill>
                  <w14:solidFill>
                    <w14:schemeClr w14:val="tx1"/>
                  </w14:solidFill>
                </w14:textFill>
              </w:rPr>
            </w:pPr>
          </w:p>
        </w:tc>
        <w:tc>
          <w:tcPr>
            <w:tcW w:w="2067"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友发</w:t>
            </w:r>
          </w:p>
        </w:tc>
        <w:tc>
          <w:tcPr>
            <w:tcW w:w="4700" w:type="dxa"/>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rPr>
              <w:t>天津友发钢管集团股份有限公司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restart"/>
            <w:shd w:val="clear" w:color="auto" w:fill="auto"/>
            <w:tcMar>
              <w:top w:w="12" w:type="dxa"/>
              <w:left w:w="12" w:type="dxa"/>
              <w:right w:w="12" w:type="dxa"/>
            </w:tcMar>
            <w:vAlign w:val="center"/>
          </w:tcPr>
          <w:p>
            <w:pPr>
              <w:jc w:val="center"/>
              <w:rPr>
                <w:rFonts w:hint="eastAsia" w:ascii="华文楷体" w:hAnsi="华文楷体" w:eastAsia="华文楷体" w:cs="华文楷体"/>
                <w:sz w:val="28"/>
                <w:szCs w:val="28"/>
                <w:lang w:val="en-US" w:eastAsia="zh-CN"/>
              </w:rPr>
            </w:pPr>
            <w:r>
              <w:rPr>
                <w:rFonts w:hint="eastAsia" w:ascii="宋体" w:hAnsi="宋体" w:eastAsia="宋体" w:cs="宋体"/>
                <w:color w:val="000000"/>
                <w:kern w:val="0"/>
                <w:sz w:val="20"/>
                <w:szCs w:val="20"/>
                <w:lang w:val="en-US" w:eastAsia="zh-CN" w:bidi="ar"/>
              </w:rPr>
              <w:t>3</w:t>
            </w:r>
          </w:p>
        </w:tc>
        <w:tc>
          <w:tcPr>
            <w:tcW w:w="1219" w:type="dxa"/>
            <w:vMerge w:val="restart"/>
            <w:shd w:val="clear" w:color="auto" w:fill="auto"/>
            <w:tcMar>
              <w:top w:w="12" w:type="dxa"/>
              <w:left w:w="12" w:type="dxa"/>
              <w:right w:w="12" w:type="dxa"/>
            </w:tcMar>
            <w:vAlign w:val="center"/>
          </w:tcPr>
          <w:p>
            <w:pPr>
              <w:jc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HDPE双壁缠绕管</w:t>
            </w:r>
          </w:p>
        </w:tc>
        <w:tc>
          <w:tcPr>
            <w:tcW w:w="2067" w:type="dxa"/>
            <w:shd w:val="clear" w:color="auto" w:fill="auto"/>
            <w:tcMar>
              <w:top w:w="12" w:type="dxa"/>
              <w:left w:w="12" w:type="dxa"/>
              <w:right w:w="12" w:type="dxa"/>
            </w:tcMar>
            <w:vAlign w:val="center"/>
          </w:tcPr>
          <w:p>
            <w:pPr>
              <w:jc w:val="center"/>
              <w:rPr>
                <w:rFonts w:hint="eastAsia" w:ascii="宋体" w:hAnsi="宋体" w:eastAsia="宋体" w:cs="宋体"/>
                <w:color w:val="000000"/>
                <w:kern w:val="0"/>
                <w:sz w:val="20"/>
                <w:szCs w:val="20"/>
                <w:lang w:val="en-US" w:eastAsia="zh-CN" w:bidi="ar"/>
              </w:rPr>
            </w:pPr>
            <w:r>
              <w:rPr>
                <w:rFonts w:hint="eastAsia"/>
              </w:rPr>
              <w:t>公元</w:t>
            </w:r>
          </w:p>
        </w:tc>
        <w:tc>
          <w:tcPr>
            <w:tcW w:w="4700" w:type="dxa"/>
            <w:shd w:val="clear" w:color="auto" w:fill="auto"/>
            <w:tcMar>
              <w:top w:w="12" w:type="dxa"/>
              <w:left w:w="12" w:type="dxa"/>
              <w:right w:w="12" w:type="dxa"/>
            </w:tcMar>
            <w:vAlign w:val="center"/>
          </w:tcPr>
          <w:p>
            <w:pPr>
              <w:jc w:val="center"/>
              <w:rPr>
                <w:rFonts w:hint="eastAsia" w:ascii="宋体" w:hAnsi="宋体" w:eastAsia="宋体" w:cs="宋体"/>
                <w:color w:val="000000"/>
                <w:kern w:val="0"/>
                <w:sz w:val="20"/>
                <w:szCs w:val="20"/>
                <w:lang w:bidi="ar"/>
              </w:rPr>
            </w:pPr>
            <w:r>
              <w:rPr>
                <w:rFonts w:hint="eastAsia"/>
              </w:rPr>
              <w:t>公元股份有限公司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hint="eastAsia" w:ascii="宋体" w:hAnsi="宋体" w:eastAsia="宋体" w:cs="宋体"/>
                <w:color w:val="000000"/>
                <w:kern w:val="0"/>
                <w:sz w:val="20"/>
                <w:szCs w:val="20"/>
                <w:lang w:bidi="ar"/>
              </w:rPr>
            </w:pPr>
          </w:p>
        </w:tc>
        <w:tc>
          <w:tcPr>
            <w:tcW w:w="2067" w:type="dxa"/>
            <w:shd w:val="clear" w:color="auto" w:fill="auto"/>
            <w:tcMar>
              <w:top w:w="12" w:type="dxa"/>
              <w:left w:w="12" w:type="dxa"/>
              <w:right w:w="12" w:type="dxa"/>
            </w:tcMar>
            <w:vAlign w:val="center"/>
          </w:tcPr>
          <w:p>
            <w:pPr>
              <w:jc w:val="center"/>
              <w:rPr>
                <w:rFonts w:hint="eastAsia" w:ascii="宋体" w:hAnsi="宋体" w:eastAsia="宋体" w:cs="宋体"/>
                <w:color w:val="000000"/>
                <w:kern w:val="0"/>
                <w:sz w:val="20"/>
                <w:szCs w:val="20"/>
                <w:lang w:val="en-US" w:eastAsia="zh-CN" w:bidi="ar"/>
              </w:rPr>
            </w:pPr>
            <w:r>
              <w:rPr>
                <w:rFonts w:hint="eastAsia"/>
              </w:rPr>
              <w:t>联塑</w:t>
            </w:r>
          </w:p>
        </w:tc>
        <w:tc>
          <w:tcPr>
            <w:tcW w:w="4700" w:type="dxa"/>
            <w:shd w:val="clear" w:color="auto" w:fill="auto"/>
            <w:tcMar>
              <w:top w:w="12" w:type="dxa"/>
              <w:left w:w="12" w:type="dxa"/>
              <w:right w:w="12" w:type="dxa"/>
            </w:tcMar>
            <w:vAlign w:val="center"/>
          </w:tcPr>
          <w:p>
            <w:pPr>
              <w:jc w:val="center"/>
              <w:rPr>
                <w:rFonts w:hint="eastAsia" w:ascii="宋体" w:hAnsi="宋体" w:eastAsia="宋体" w:cs="宋体"/>
                <w:color w:val="000000"/>
                <w:kern w:val="0"/>
                <w:sz w:val="20"/>
                <w:szCs w:val="20"/>
                <w:lang w:bidi="ar"/>
              </w:rPr>
            </w:pPr>
            <w:r>
              <w:rPr>
                <w:rFonts w:hint="eastAsia"/>
              </w:rPr>
              <w:t>广东联塑科技实业有限公司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trPr>
        <w:tc>
          <w:tcPr>
            <w:tcW w:w="434" w:type="dxa"/>
            <w:vMerge w:val="continue"/>
            <w:shd w:val="clear" w:color="auto" w:fill="auto"/>
            <w:tcMar>
              <w:top w:w="12" w:type="dxa"/>
              <w:left w:w="12" w:type="dxa"/>
              <w:right w:w="12" w:type="dxa"/>
            </w:tcMar>
            <w:vAlign w:val="center"/>
          </w:tcPr>
          <w:p>
            <w:pPr>
              <w:jc w:val="center"/>
              <w:rPr>
                <w:rFonts w:ascii="华文楷体" w:hAnsi="华文楷体" w:eastAsia="华文楷体" w:cs="华文楷体"/>
                <w:sz w:val="28"/>
                <w:szCs w:val="28"/>
              </w:rPr>
            </w:pPr>
          </w:p>
        </w:tc>
        <w:tc>
          <w:tcPr>
            <w:tcW w:w="1219" w:type="dxa"/>
            <w:vMerge w:val="continue"/>
            <w:shd w:val="clear" w:color="auto" w:fill="auto"/>
            <w:tcMar>
              <w:top w:w="12" w:type="dxa"/>
              <w:left w:w="12" w:type="dxa"/>
              <w:right w:w="12" w:type="dxa"/>
            </w:tcMar>
            <w:vAlign w:val="center"/>
          </w:tcPr>
          <w:p>
            <w:pPr>
              <w:jc w:val="center"/>
              <w:rPr>
                <w:rFonts w:hint="eastAsia" w:ascii="宋体" w:hAnsi="宋体" w:eastAsia="宋体" w:cs="宋体"/>
                <w:color w:val="000000"/>
                <w:kern w:val="0"/>
                <w:sz w:val="20"/>
                <w:szCs w:val="20"/>
                <w:lang w:bidi="ar"/>
              </w:rPr>
            </w:pPr>
          </w:p>
        </w:tc>
        <w:tc>
          <w:tcPr>
            <w:tcW w:w="2067" w:type="dxa"/>
            <w:shd w:val="clear" w:color="auto" w:fill="auto"/>
            <w:tcMar>
              <w:top w:w="12" w:type="dxa"/>
              <w:left w:w="12" w:type="dxa"/>
              <w:right w:w="12" w:type="dxa"/>
            </w:tcMar>
            <w:vAlign w:val="center"/>
          </w:tcPr>
          <w:p>
            <w:pPr>
              <w:jc w:val="center"/>
              <w:rPr>
                <w:rFonts w:hint="eastAsia" w:ascii="宋体" w:hAnsi="宋体" w:eastAsia="宋体" w:cs="宋体"/>
                <w:color w:val="000000"/>
                <w:kern w:val="0"/>
                <w:sz w:val="20"/>
                <w:szCs w:val="20"/>
                <w:lang w:val="en-US" w:eastAsia="zh-CN" w:bidi="ar"/>
              </w:rPr>
            </w:pPr>
            <w:r>
              <w:rPr>
                <w:rFonts w:hint="eastAsia"/>
              </w:rPr>
              <w:t>伟星</w:t>
            </w:r>
          </w:p>
        </w:tc>
        <w:tc>
          <w:tcPr>
            <w:tcW w:w="4700" w:type="dxa"/>
            <w:shd w:val="clear" w:color="auto" w:fill="auto"/>
            <w:tcMar>
              <w:top w:w="12" w:type="dxa"/>
              <w:left w:w="12" w:type="dxa"/>
              <w:right w:w="12" w:type="dxa"/>
            </w:tcMar>
            <w:vAlign w:val="center"/>
          </w:tcPr>
          <w:p>
            <w:pPr>
              <w:jc w:val="center"/>
              <w:rPr>
                <w:rFonts w:hint="eastAsia" w:ascii="宋体" w:hAnsi="宋体" w:eastAsia="宋体" w:cs="宋体"/>
                <w:color w:val="000000"/>
                <w:kern w:val="0"/>
                <w:sz w:val="20"/>
                <w:szCs w:val="20"/>
                <w:lang w:bidi="ar"/>
              </w:rPr>
            </w:pPr>
            <w:r>
              <w:rPr>
                <w:rFonts w:hint="eastAsia"/>
              </w:rPr>
              <w:t>浙江伟星新型建材股份有限公司</w:t>
            </w:r>
          </w:p>
        </w:tc>
        <w:tc>
          <w:tcPr>
            <w:tcW w:w="1026" w:type="dxa"/>
            <w:shd w:val="clear" w:color="auto" w:fill="auto"/>
            <w:tcMar>
              <w:top w:w="12" w:type="dxa"/>
              <w:left w:w="12" w:type="dxa"/>
              <w:right w:w="12" w:type="dxa"/>
            </w:tcMar>
            <w:vAlign w:val="center"/>
          </w:tcPr>
          <w:p>
            <w:pPr>
              <w:widowControl/>
              <w:jc w:val="center"/>
              <w:textAlignment w:val="center"/>
              <w:rPr>
                <w:rFonts w:ascii="华文楷体" w:hAnsi="华文楷体" w:eastAsia="华文楷体" w:cs="华文楷体"/>
                <w:sz w:val="28"/>
                <w:szCs w:val="28"/>
              </w:rPr>
            </w:pPr>
          </w:p>
        </w:tc>
      </w:tr>
    </w:tbl>
    <w:p>
      <w:pPr>
        <w:spacing w:line="360" w:lineRule="auto"/>
        <w:rPr>
          <w:rFonts w:ascii="华文楷体" w:hAnsi="华文楷体" w:eastAsia="华文楷体" w:cs="华文楷体"/>
          <w:sz w:val="28"/>
          <w:szCs w:val="28"/>
        </w:rPr>
      </w:pP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2、主要材料技术标准和质量要求如下：</w:t>
      </w:r>
    </w:p>
    <w:p>
      <w:pPr>
        <w:spacing w:line="360" w:lineRule="auto"/>
        <w:ind w:firstLine="560" w:firstLineChars="200"/>
        <w:rPr>
          <w:rFonts w:ascii="华文楷体" w:hAnsi="华文楷体" w:eastAsia="华文楷体" w:cs="华文楷体"/>
          <w:sz w:val="28"/>
          <w:szCs w:val="28"/>
        </w:rPr>
      </w:pPr>
      <w:r>
        <w:rPr>
          <w:rFonts w:hint="eastAsia" w:ascii="华文楷体" w:hAnsi="华文楷体" w:eastAsia="华文楷体" w:cs="华文楷体"/>
          <w:sz w:val="28"/>
          <w:szCs w:val="28"/>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w:t>
      </w:r>
    </w:p>
    <w:p>
      <w:pPr>
        <w:numPr>
          <w:ilvl w:val="0"/>
          <w:numId w:val="2"/>
        </w:numPr>
        <w:spacing w:line="360" w:lineRule="auto"/>
        <w:ind w:firstLine="560" w:firstLineChars="200"/>
        <w:rPr>
          <w:rFonts w:hint="eastAsia" w:ascii="华文楷体" w:hAnsi="华文楷体" w:eastAsia="华文楷体" w:cs="华文楷体"/>
          <w:b/>
          <w:bCs/>
          <w:sz w:val="28"/>
          <w:szCs w:val="28"/>
        </w:rPr>
      </w:pPr>
      <w:r>
        <w:rPr>
          <w:rFonts w:hint="eastAsia" w:ascii="华文楷体" w:hAnsi="华文楷体" w:eastAsia="华文楷体" w:cs="华文楷体"/>
          <w:sz w:val="28"/>
          <w:szCs w:val="28"/>
        </w:rPr>
        <w:t>招标人自行采购的主要材料设备</w:t>
      </w:r>
      <w:r>
        <w:rPr>
          <w:rFonts w:hint="eastAsia" w:ascii="华文楷体" w:hAnsi="华文楷体" w:eastAsia="华文楷体" w:cs="华文楷体"/>
          <w:color w:val="000000" w:themeColor="text1"/>
          <w:sz w:val="28"/>
          <w:szCs w:val="28"/>
          <w14:textFill>
            <w14:solidFill>
              <w14:schemeClr w14:val="tx1"/>
            </w14:solidFill>
          </w14:textFill>
        </w:rPr>
        <w:t>：</w:t>
      </w:r>
      <w:r>
        <w:rPr>
          <w:rFonts w:hint="eastAsia" w:ascii="华文楷体" w:hAnsi="华文楷体" w:eastAsia="华文楷体" w:cs="华文楷体"/>
          <w:sz w:val="28"/>
          <w:szCs w:val="28"/>
        </w:rPr>
        <w:t>无。</w:t>
      </w:r>
    </w:p>
    <w:p>
      <w:pPr>
        <w:spacing w:line="360" w:lineRule="auto"/>
        <w:rPr>
          <w:rFonts w:ascii="华文楷体" w:hAnsi="华文楷体" w:eastAsia="华文楷体" w:cs="华文楷体"/>
          <w:b/>
          <w:bCs/>
          <w:sz w:val="28"/>
          <w:szCs w:val="28"/>
        </w:rPr>
      </w:pPr>
      <w:r>
        <w:rPr>
          <w:rFonts w:hint="eastAsia" w:ascii="华文楷体" w:hAnsi="华文楷体" w:eastAsia="华文楷体" w:cs="华文楷体"/>
          <w:b/>
          <w:bCs/>
          <w:sz w:val="28"/>
          <w:szCs w:val="28"/>
        </w:rPr>
        <w:t>六、其他说明</w:t>
      </w:r>
    </w:p>
    <w:p>
      <w:pPr>
        <w:spacing w:line="360" w:lineRule="auto"/>
        <w:ind w:firstLine="560" w:firstLineChars="200"/>
        <w:rPr>
          <w:rFonts w:ascii="华文楷体" w:hAnsi="华文楷体" w:eastAsia="华文楷体" w:cs="华文楷体"/>
          <w:color w:val="FF0000"/>
          <w:sz w:val="28"/>
          <w:szCs w:val="28"/>
        </w:rPr>
      </w:pPr>
      <w:r>
        <w:rPr>
          <w:rFonts w:hint="eastAsia" w:ascii="华文楷体" w:hAnsi="华文楷体" w:eastAsia="华文楷体" w:cs="华文楷体"/>
          <w:sz w:val="28"/>
          <w:szCs w:val="28"/>
        </w:rPr>
        <w:t>1、投标人应在认真理解和熟悉招标文件，经现场踏勘后，综合考虑清单中各分部分项工程包括管理费、利润、风险费、规费、税金等全部费用清单报价，无论清单特征中是否描述，投标人综合单价均应包含完成本清单项目所有工作内容的费用。</w:t>
      </w:r>
      <w:bookmarkStart w:id="0" w:name="_GoBack"/>
      <w:bookmarkEnd w:id="0"/>
    </w:p>
    <w:sectPr>
      <w:pgSz w:w="11906" w:h="16838"/>
      <w:pgMar w:top="1440" w:right="12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83" w:usb1="288F0000" w:usb2="0000000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386A48"/>
    <w:multiLevelType w:val="singleLevel"/>
    <w:tmpl w:val="C7386A48"/>
    <w:lvl w:ilvl="0" w:tentative="0">
      <w:start w:val="1"/>
      <w:numFmt w:val="chineseCounting"/>
      <w:suff w:val="nothing"/>
      <w:lvlText w:val="%1、"/>
      <w:lvlJc w:val="left"/>
      <w:rPr>
        <w:rFonts w:hint="eastAsia"/>
      </w:rPr>
    </w:lvl>
  </w:abstractNum>
  <w:abstractNum w:abstractNumId="1">
    <w:nsid w:val="2AEB87CD"/>
    <w:multiLevelType w:val="singleLevel"/>
    <w:tmpl w:val="2AEB87CD"/>
    <w:lvl w:ilvl="0" w:tentative="0">
      <w:start w:val="2"/>
      <w:numFmt w:val="chineseCounting"/>
      <w:suff w:val="nothing"/>
      <w:lvlText w:val="（%1）"/>
      <w:lvlJc w:val="left"/>
      <w:rPr>
        <w:rFonts w:hint="eastAsia"/>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hNWQ3OTYzMmMzNjU4M2MxMWNjNmUwNmE5YjA2ZDUifQ=="/>
  </w:docVars>
  <w:rsids>
    <w:rsidRoot w:val="00E80598"/>
    <w:rsid w:val="00003B10"/>
    <w:rsid w:val="00070CA5"/>
    <w:rsid w:val="000878B4"/>
    <w:rsid w:val="00094F0E"/>
    <w:rsid w:val="000C5F5E"/>
    <w:rsid w:val="00130701"/>
    <w:rsid w:val="00181913"/>
    <w:rsid w:val="001D3A5E"/>
    <w:rsid w:val="001F5DF7"/>
    <w:rsid w:val="00204723"/>
    <w:rsid w:val="00224361"/>
    <w:rsid w:val="00350785"/>
    <w:rsid w:val="003C551D"/>
    <w:rsid w:val="003D4DFA"/>
    <w:rsid w:val="0041308F"/>
    <w:rsid w:val="00457557"/>
    <w:rsid w:val="00462E4D"/>
    <w:rsid w:val="004A69EC"/>
    <w:rsid w:val="004C3E75"/>
    <w:rsid w:val="004E1038"/>
    <w:rsid w:val="005453BC"/>
    <w:rsid w:val="005733F8"/>
    <w:rsid w:val="00587E4B"/>
    <w:rsid w:val="005C7A6B"/>
    <w:rsid w:val="005E3FDB"/>
    <w:rsid w:val="006035F5"/>
    <w:rsid w:val="006252DA"/>
    <w:rsid w:val="006A6281"/>
    <w:rsid w:val="006D6139"/>
    <w:rsid w:val="006E0A43"/>
    <w:rsid w:val="006F1DF0"/>
    <w:rsid w:val="00714E36"/>
    <w:rsid w:val="00716093"/>
    <w:rsid w:val="00770FE5"/>
    <w:rsid w:val="00777DEA"/>
    <w:rsid w:val="00784A79"/>
    <w:rsid w:val="00792C2E"/>
    <w:rsid w:val="007E7818"/>
    <w:rsid w:val="007F7C1D"/>
    <w:rsid w:val="00847CE5"/>
    <w:rsid w:val="00850ECA"/>
    <w:rsid w:val="00855A30"/>
    <w:rsid w:val="008964D1"/>
    <w:rsid w:val="009220B0"/>
    <w:rsid w:val="009C2E62"/>
    <w:rsid w:val="009F7256"/>
    <w:rsid w:val="00A36EEF"/>
    <w:rsid w:val="00A63FC9"/>
    <w:rsid w:val="00AB037F"/>
    <w:rsid w:val="00AB5606"/>
    <w:rsid w:val="00AC1EED"/>
    <w:rsid w:val="00AF6A71"/>
    <w:rsid w:val="00B276BE"/>
    <w:rsid w:val="00B276F7"/>
    <w:rsid w:val="00B45773"/>
    <w:rsid w:val="00B46074"/>
    <w:rsid w:val="00C24412"/>
    <w:rsid w:val="00C30855"/>
    <w:rsid w:val="00C34BCE"/>
    <w:rsid w:val="00C36851"/>
    <w:rsid w:val="00C9616D"/>
    <w:rsid w:val="00CA1596"/>
    <w:rsid w:val="00CB729C"/>
    <w:rsid w:val="00CF11B3"/>
    <w:rsid w:val="00D53389"/>
    <w:rsid w:val="00E03455"/>
    <w:rsid w:val="00E80598"/>
    <w:rsid w:val="00E924B2"/>
    <w:rsid w:val="00EC599D"/>
    <w:rsid w:val="00ED2F94"/>
    <w:rsid w:val="00EE3AC7"/>
    <w:rsid w:val="00F106A9"/>
    <w:rsid w:val="00F35A42"/>
    <w:rsid w:val="00F637EC"/>
    <w:rsid w:val="00F86DE8"/>
    <w:rsid w:val="00FB6452"/>
    <w:rsid w:val="00FD2FBA"/>
    <w:rsid w:val="026423BC"/>
    <w:rsid w:val="041C6A8A"/>
    <w:rsid w:val="05637CE9"/>
    <w:rsid w:val="07DC77D1"/>
    <w:rsid w:val="0840065C"/>
    <w:rsid w:val="093A3EEB"/>
    <w:rsid w:val="0AA00FFF"/>
    <w:rsid w:val="0CC139CA"/>
    <w:rsid w:val="0D071482"/>
    <w:rsid w:val="0E7618A5"/>
    <w:rsid w:val="0F424FA5"/>
    <w:rsid w:val="10291D80"/>
    <w:rsid w:val="12A83E03"/>
    <w:rsid w:val="13D97736"/>
    <w:rsid w:val="14E042C5"/>
    <w:rsid w:val="15803988"/>
    <w:rsid w:val="16CB38CE"/>
    <w:rsid w:val="16CC55E9"/>
    <w:rsid w:val="17CA0378"/>
    <w:rsid w:val="17E83B2A"/>
    <w:rsid w:val="1837402C"/>
    <w:rsid w:val="196827CF"/>
    <w:rsid w:val="21533141"/>
    <w:rsid w:val="22715C4D"/>
    <w:rsid w:val="22D80382"/>
    <w:rsid w:val="22F333EF"/>
    <w:rsid w:val="23656FC3"/>
    <w:rsid w:val="247875FE"/>
    <w:rsid w:val="24AC52B0"/>
    <w:rsid w:val="255F78C7"/>
    <w:rsid w:val="25F04FD6"/>
    <w:rsid w:val="2A115953"/>
    <w:rsid w:val="2AD07367"/>
    <w:rsid w:val="2BD22118"/>
    <w:rsid w:val="2E975217"/>
    <w:rsid w:val="2F204FF5"/>
    <w:rsid w:val="323F78FA"/>
    <w:rsid w:val="32CC7242"/>
    <w:rsid w:val="33F322A9"/>
    <w:rsid w:val="340B78F6"/>
    <w:rsid w:val="342045EA"/>
    <w:rsid w:val="36D80B92"/>
    <w:rsid w:val="383022C9"/>
    <w:rsid w:val="38DC5E86"/>
    <w:rsid w:val="398B73E2"/>
    <w:rsid w:val="39BA7CC0"/>
    <w:rsid w:val="3B1D4A86"/>
    <w:rsid w:val="3F8255AA"/>
    <w:rsid w:val="40660CAA"/>
    <w:rsid w:val="40B24332"/>
    <w:rsid w:val="414738E4"/>
    <w:rsid w:val="432A3E3A"/>
    <w:rsid w:val="438A3C39"/>
    <w:rsid w:val="43963680"/>
    <w:rsid w:val="44CE4762"/>
    <w:rsid w:val="455D3D20"/>
    <w:rsid w:val="46E65562"/>
    <w:rsid w:val="475D3B01"/>
    <w:rsid w:val="4A3939CF"/>
    <w:rsid w:val="4A60261A"/>
    <w:rsid w:val="4B5A580A"/>
    <w:rsid w:val="4CD23CFB"/>
    <w:rsid w:val="4DF950F2"/>
    <w:rsid w:val="4E5C5B33"/>
    <w:rsid w:val="4E86208F"/>
    <w:rsid w:val="4FC55C1D"/>
    <w:rsid w:val="514F6512"/>
    <w:rsid w:val="54341495"/>
    <w:rsid w:val="54FF3FE7"/>
    <w:rsid w:val="563F1955"/>
    <w:rsid w:val="5785783C"/>
    <w:rsid w:val="584A1BD1"/>
    <w:rsid w:val="5B775DA6"/>
    <w:rsid w:val="5BCE5477"/>
    <w:rsid w:val="5E4775F9"/>
    <w:rsid w:val="5E880ED9"/>
    <w:rsid w:val="607139DB"/>
    <w:rsid w:val="6138082C"/>
    <w:rsid w:val="61DC6F7F"/>
    <w:rsid w:val="63AA2810"/>
    <w:rsid w:val="63B130AC"/>
    <w:rsid w:val="6417362C"/>
    <w:rsid w:val="64BC6497"/>
    <w:rsid w:val="64F4340D"/>
    <w:rsid w:val="6ABA2C10"/>
    <w:rsid w:val="6B6E1032"/>
    <w:rsid w:val="6B712C83"/>
    <w:rsid w:val="6C766FB1"/>
    <w:rsid w:val="6DA62DFA"/>
    <w:rsid w:val="6DA72690"/>
    <w:rsid w:val="6DAE46FA"/>
    <w:rsid w:val="6E407BC1"/>
    <w:rsid w:val="6FA554C1"/>
    <w:rsid w:val="706A75F7"/>
    <w:rsid w:val="7281066B"/>
    <w:rsid w:val="72CC1AE5"/>
    <w:rsid w:val="73B70FED"/>
    <w:rsid w:val="7ACC2F08"/>
    <w:rsid w:val="7BD858DD"/>
    <w:rsid w:val="7BD91F35"/>
    <w:rsid w:val="7CE77619"/>
    <w:rsid w:val="7DA24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qFormat/>
    <w:uiPriority w:val="99"/>
    <w:pPr>
      <w:keepNext/>
      <w:keepLines/>
      <w:snapToGrid w:val="0"/>
      <w:spacing w:before="60" w:after="60"/>
      <w:ind w:right="-11"/>
      <w:jc w:val="center"/>
      <w:outlineLvl w:val="0"/>
    </w:pPr>
    <w:rPr>
      <w:rFonts w:ascii="Times New Roman" w:hAnsi="Times New Roman" w:eastAsia="宋体" w:cs="Times New Roman"/>
      <w:b/>
      <w:kern w:val="44"/>
      <w:sz w:val="36"/>
      <w:szCs w:val="36"/>
    </w:rPr>
  </w:style>
  <w:style w:type="paragraph" w:styleId="3">
    <w:name w:val="heading 2"/>
    <w:basedOn w:val="1"/>
    <w:next w:val="4"/>
    <w:link w:val="31"/>
    <w:qFormat/>
    <w:uiPriority w:val="9"/>
    <w:pPr>
      <w:keepNext/>
      <w:keepLines/>
      <w:adjustRightInd w:val="0"/>
      <w:snapToGrid w:val="0"/>
      <w:spacing w:before="240" w:after="240"/>
      <w:ind w:right="-11"/>
      <w:jc w:val="center"/>
      <w:outlineLvl w:val="1"/>
    </w:pPr>
    <w:rPr>
      <w:rFonts w:ascii="Arial" w:hAnsi="Arial" w:eastAsia="宋体" w:cs="Times New Roman"/>
      <w:b/>
      <w:sz w:val="32"/>
      <w:szCs w:val="20"/>
    </w:rPr>
  </w:style>
  <w:style w:type="paragraph" w:styleId="5">
    <w:name w:val="heading 3"/>
    <w:basedOn w:val="1"/>
    <w:next w:val="4"/>
    <w:link w:val="32"/>
    <w:qFormat/>
    <w:uiPriority w:val="9"/>
    <w:pPr>
      <w:keepNext/>
      <w:keepLines/>
      <w:adjustRightInd w:val="0"/>
      <w:snapToGrid w:val="0"/>
      <w:spacing w:before="240" w:after="240"/>
      <w:ind w:right="-11" w:firstLine="200" w:firstLineChars="200"/>
      <w:outlineLvl w:val="2"/>
    </w:pPr>
    <w:rPr>
      <w:rFonts w:ascii="宋体"/>
      <w:b/>
      <w:sz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semiHidden/>
    <w:unhideWhenUsed/>
    <w:qFormat/>
    <w:uiPriority w:val="99"/>
    <w:pPr>
      <w:ind w:right="-11" w:firstLine="420" w:firstLineChars="200"/>
    </w:pPr>
  </w:style>
  <w:style w:type="paragraph" w:styleId="6">
    <w:name w:val="toc 7"/>
    <w:basedOn w:val="1"/>
    <w:next w:val="1"/>
    <w:unhideWhenUsed/>
    <w:qFormat/>
    <w:uiPriority w:val="39"/>
    <w:pPr>
      <w:ind w:left="2520" w:leftChars="1200"/>
    </w:pPr>
  </w:style>
  <w:style w:type="paragraph" w:styleId="7">
    <w:name w:val="annotation text"/>
    <w:basedOn w:val="1"/>
    <w:link w:val="48"/>
    <w:qFormat/>
    <w:uiPriority w:val="0"/>
    <w:pPr>
      <w:jc w:val="left"/>
    </w:pPr>
    <w:rPr>
      <w:rFonts w:ascii="Times New Roman" w:hAnsi="Times New Roman" w:eastAsia="宋体" w:cs="Times New Roman"/>
      <w:szCs w:val="24"/>
    </w:rPr>
  </w:style>
  <w:style w:type="paragraph" w:styleId="8">
    <w:name w:val="Body Text 3"/>
    <w:basedOn w:val="1"/>
    <w:link w:val="40"/>
    <w:qFormat/>
    <w:uiPriority w:val="0"/>
    <w:rPr>
      <w:rFonts w:ascii="宋体" w:eastAsia="宋体"/>
      <w:sz w:val="24"/>
    </w:rPr>
  </w:style>
  <w:style w:type="paragraph" w:styleId="9">
    <w:name w:val="Body Text"/>
    <w:basedOn w:val="1"/>
    <w:link w:val="44"/>
    <w:qFormat/>
    <w:uiPriority w:val="0"/>
    <w:pPr>
      <w:spacing w:after="120" w:line="360" w:lineRule="auto"/>
    </w:pPr>
    <w:rPr>
      <w:rFonts w:ascii="Times New Roman" w:hAnsi="Times New Roman" w:eastAsia="宋体" w:cs="Times New Roman"/>
      <w:szCs w:val="20"/>
    </w:rPr>
  </w:style>
  <w:style w:type="paragraph" w:styleId="10">
    <w:name w:val="toc 5"/>
    <w:basedOn w:val="1"/>
    <w:next w:val="1"/>
    <w:unhideWhenUsed/>
    <w:qFormat/>
    <w:uiPriority w:val="39"/>
    <w:pPr>
      <w:ind w:left="1680" w:leftChars="800"/>
    </w:pPr>
  </w:style>
  <w:style w:type="paragraph" w:styleId="11">
    <w:name w:val="toc 3"/>
    <w:basedOn w:val="1"/>
    <w:next w:val="1"/>
    <w:unhideWhenUsed/>
    <w:qFormat/>
    <w:uiPriority w:val="39"/>
    <w:pPr>
      <w:ind w:left="840" w:leftChars="400" w:right="-11"/>
    </w:pPr>
  </w:style>
  <w:style w:type="paragraph" w:styleId="12">
    <w:name w:val="toc 8"/>
    <w:basedOn w:val="1"/>
    <w:next w:val="1"/>
    <w:unhideWhenUsed/>
    <w:qFormat/>
    <w:uiPriority w:val="39"/>
    <w:pPr>
      <w:ind w:left="2940" w:leftChars="1400"/>
    </w:pPr>
  </w:style>
  <w:style w:type="paragraph" w:styleId="13">
    <w:name w:val="Balloon Text"/>
    <w:basedOn w:val="1"/>
    <w:link w:val="47"/>
    <w:qFormat/>
    <w:uiPriority w:val="99"/>
    <w:rPr>
      <w:rFonts w:ascii="Times New Roman" w:hAnsi="Times New Roman" w:eastAsia="宋体" w:cs="Times New Roman"/>
      <w:sz w:val="18"/>
      <w:szCs w:val="18"/>
    </w:rPr>
  </w:style>
  <w:style w:type="paragraph" w:styleId="14">
    <w:name w:val="footer"/>
    <w:basedOn w:val="1"/>
    <w:link w:val="45"/>
    <w:qFormat/>
    <w:uiPriority w:val="99"/>
    <w:pPr>
      <w:widowControl/>
      <w:tabs>
        <w:tab w:val="center" w:pos="4153"/>
        <w:tab w:val="right" w:pos="8306"/>
      </w:tabs>
      <w:snapToGrid w:val="0"/>
      <w:jc w:val="left"/>
    </w:pPr>
    <w:rPr>
      <w:rFonts w:ascii="Times New Roman" w:hAnsi="Times New Roman" w:eastAsia="宋体" w:cs="Times New Roman"/>
      <w:kern w:val="0"/>
      <w:sz w:val="18"/>
      <w:szCs w:val="18"/>
    </w:rPr>
  </w:style>
  <w:style w:type="paragraph" w:styleId="15">
    <w:name w:val="header"/>
    <w:basedOn w:val="1"/>
    <w:link w:val="46"/>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6">
    <w:name w:val="toc 1"/>
    <w:basedOn w:val="1"/>
    <w:next w:val="1"/>
    <w:qFormat/>
    <w:uiPriority w:val="39"/>
    <w:pPr>
      <w:tabs>
        <w:tab w:val="right" w:leader="dot" w:pos="9030"/>
      </w:tabs>
      <w:spacing w:line="560" w:lineRule="exact"/>
      <w:ind w:right="-11"/>
      <w:jc w:val="left"/>
    </w:pPr>
    <w:rPr>
      <w:rFonts w:ascii="宋体" w:hAnsi="宋体" w:eastAsia="宋体" w:cs="宋体"/>
      <w:b/>
      <w:bCs/>
      <w:sz w:val="30"/>
      <w:szCs w:val="30"/>
    </w:rPr>
  </w:style>
  <w:style w:type="paragraph" w:styleId="17">
    <w:name w:val="toc 4"/>
    <w:basedOn w:val="1"/>
    <w:next w:val="1"/>
    <w:unhideWhenUsed/>
    <w:qFormat/>
    <w:uiPriority w:val="39"/>
    <w:pPr>
      <w:ind w:left="1260" w:leftChars="600"/>
    </w:pPr>
  </w:style>
  <w:style w:type="paragraph" w:styleId="18">
    <w:name w:val="toc 6"/>
    <w:basedOn w:val="1"/>
    <w:next w:val="1"/>
    <w:unhideWhenUsed/>
    <w:qFormat/>
    <w:uiPriority w:val="39"/>
    <w:pPr>
      <w:ind w:left="2100" w:leftChars="1000"/>
    </w:pPr>
  </w:style>
  <w:style w:type="paragraph" w:styleId="19">
    <w:name w:val="toc 2"/>
    <w:basedOn w:val="1"/>
    <w:next w:val="1"/>
    <w:unhideWhenUsed/>
    <w:qFormat/>
    <w:uiPriority w:val="39"/>
    <w:pPr>
      <w:ind w:left="420" w:leftChars="200" w:right="-11"/>
    </w:pPr>
  </w:style>
  <w:style w:type="paragraph" w:styleId="20">
    <w:name w:val="toc 9"/>
    <w:basedOn w:val="1"/>
    <w:next w:val="1"/>
    <w:unhideWhenUsed/>
    <w:qFormat/>
    <w:uiPriority w:val="39"/>
    <w:pPr>
      <w:ind w:left="3360" w:leftChars="1600"/>
    </w:pPr>
  </w:style>
  <w:style w:type="paragraph" w:styleId="21">
    <w:name w:val="HTML Preformatted"/>
    <w:basedOn w:val="1"/>
    <w:link w:val="52"/>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eastAsia="宋体" w:cs="Times New Roman"/>
      <w:szCs w:val="24"/>
    </w:rPr>
  </w:style>
  <w:style w:type="paragraph" w:styleId="22">
    <w:name w:val="Normal (Web)"/>
    <w:basedOn w:val="1"/>
    <w:qFormat/>
    <w:uiPriority w:val="0"/>
    <w:pPr>
      <w:spacing w:before="100" w:beforeAutospacing="1" w:after="100" w:afterAutospacing="1"/>
      <w:jc w:val="left"/>
    </w:pPr>
    <w:rPr>
      <w:rFonts w:cs="Times New Roman"/>
      <w:kern w:val="0"/>
      <w:sz w:val="24"/>
    </w:rPr>
  </w:style>
  <w:style w:type="paragraph" w:styleId="23">
    <w:name w:val="Title"/>
    <w:basedOn w:val="1"/>
    <w:next w:val="1"/>
    <w:link w:val="33"/>
    <w:qFormat/>
    <w:uiPriority w:val="10"/>
    <w:pPr>
      <w:spacing w:before="240" w:after="60"/>
      <w:ind w:right="-11"/>
      <w:jc w:val="center"/>
      <w:outlineLvl w:val="0"/>
    </w:pPr>
    <w:rPr>
      <w:rFonts w:asciiTheme="majorHAnsi" w:hAnsiTheme="majorHAnsi" w:cstheme="majorBidi"/>
      <w:b/>
      <w:bCs/>
      <w:sz w:val="44"/>
      <w:szCs w:val="32"/>
    </w:rPr>
  </w:style>
  <w:style w:type="paragraph" w:styleId="24">
    <w:name w:val="annotation subject"/>
    <w:basedOn w:val="7"/>
    <w:next w:val="7"/>
    <w:link w:val="49"/>
    <w:qFormat/>
    <w:uiPriority w:val="0"/>
    <w:rPr>
      <w:b/>
      <w:bC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Hyperlink"/>
    <w:unhideWhenUsed/>
    <w:qFormat/>
    <w:uiPriority w:val="99"/>
    <w:rPr>
      <w:color w:val="0000FF"/>
      <w:u w:val="single"/>
    </w:rPr>
  </w:style>
  <w:style w:type="character" w:styleId="29">
    <w:name w:val="annotation reference"/>
    <w:basedOn w:val="27"/>
    <w:qFormat/>
    <w:uiPriority w:val="0"/>
    <w:rPr>
      <w:sz w:val="21"/>
      <w:szCs w:val="21"/>
    </w:rPr>
  </w:style>
  <w:style w:type="character" w:customStyle="1" w:styleId="30">
    <w:name w:val="标题 1 字符"/>
    <w:basedOn w:val="27"/>
    <w:link w:val="2"/>
    <w:qFormat/>
    <w:uiPriority w:val="99"/>
    <w:rPr>
      <w:rFonts w:ascii="Times New Roman" w:hAnsi="Times New Roman" w:eastAsia="宋体" w:cs="Times New Roman"/>
      <w:b/>
      <w:kern w:val="44"/>
      <w:sz w:val="36"/>
      <w:szCs w:val="36"/>
    </w:rPr>
  </w:style>
  <w:style w:type="character" w:customStyle="1" w:styleId="31">
    <w:name w:val="标题 2 字符1"/>
    <w:basedOn w:val="27"/>
    <w:link w:val="3"/>
    <w:qFormat/>
    <w:uiPriority w:val="9"/>
    <w:rPr>
      <w:rFonts w:ascii="Arial" w:hAnsi="Arial" w:eastAsia="宋体" w:cs="Times New Roman"/>
      <w:b/>
      <w:sz w:val="32"/>
      <w:szCs w:val="20"/>
    </w:rPr>
  </w:style>
  <w:style w:type="character" w:customStyle="1" w:styleId="32">
    <w:name w:val="标题 3 字符"/>
    <w:basedOn w:val="27"/>
    <w:link w:val="5"/>
    <w:qFormat/>
    <w:uiPriority w:val="9"/>
    <w:rPr>
      <w:rFonts w:ascii="宋体"/>
      <w:b/>
      <w:sz w:val="24"/>
    </w:rPr>
  </w:style>
  <w:style w:type="character" w:customStyle="1" w:styleId="33">
    <w:name w:val="标题 字符1"/>
    <w:basedOn w:val="27"/>
    <w:link w:val="23"/>
    <w:qFormat/>
    <w:uiPriority w:val="10"/>
    <w:rPr>
      <w:rFonts w:asciiTheme="majorHAnsi" w:hAnsiTheme="majorHAnsi" w:cstheme="majorBidi"/>
      <w:b/>
      <w:bCs/>
      <w:sz w:val="44"/>
      <w:szCs w:val="32"/>
    </w:rPr>
  </w:style>
  <w:style w:type="paragraph" w:styleId="34">
    <w:name w:val="No Spacing"/>
    <w:qFormat/>
    <w:uiPriority w:val="1"/>
    <w:pPr>
      <w:widowControl w:val="0"/>
      <w:jc w:val="both"/>
    </w:pPr>
    <w:rPr>
      <w:rFonts w:ascii="Times New Roman" w:hAnsi="Times New Roman" w:eastAsia="宋体" w:cs="Times New Roman"/>
      <w:kern w:val="2"/>
      <w:sz w:val="21"/>
      <w:lang w:val="en-US" w:eastAsia="zh-CN" w:bidi="ar-SA"/>
    </w:rPr>
  </w:style>
  <w:style w:type="character" w:customStyle="1" w:styleId="35">
    <w:name w:val="标题 2 字符"/>
    <w:qFormat/>
    <w:uiPriority w:val="9"/>
    <w:rPr>
      <w:rFonts w:ascii="新宋体" w:hAnsi="新宋体" w:eastAsia="新宋体"/>
      <w:b/>
      <w:bCs/>
      <w:kern w:val="2"/>
      <w:sz w:val="32"/>
      <w:szCs w:val="32"/>
      <w:lang w:val="zh-CN"/>
    </w:rPr>
  </w:style>
  <w:style w:type="paragraph" w:customStyle="1" w:styleId="36">
    <w:name w:val="样式 标题 3 + (中文) 黑体 小四 非加粗 段前: 7.8 磅 段后: 0 磅 行距: 固定值 20 磅"/>
    <w:basedOn w:val="5"/>
    <w:qFormat/>
    <w:uiPriority w:val="0"/>
    <w:pPr>
      <w:adjustRightInd/>
      <w:snapToGrid/>
      <w:spacing w:before="0" w:after="0" w:line="400" w:lineRule="exact"/>
      <w:ind w:right="0" w:firstLine="0" w:firstLineChars="0"/>
    </w:pPr>
    <w:rPr>
      <w:rFonts w:ascii="Times New Roman" w:hAnsi="Times New Roman" w:eastAsia="黑体" w:cs="Times New Roman"/>
      <w:b w:val="0"/>
      <w:szCs w:val="20"/>
    </w:rPr>
  </w:style>
  <w:style w:type="character" w:customStyle="1" w:styleId="37">
    <w:name w:val="标题 字符"/>
    <w:qFormat/>
    <w:uiPriority w:val="10"/>
    <w:rPr>
      <w:rFonts w:ascii="Cambria" w:hAnsi="Cambria" w:cs="Times New Roman"/>
      <w:b/>
      <w:bCs/>
      <w:kern w:val="2"/>
      <w:sz w:val="32"/>
      <w:szCs w:val="32"/>
    </w:rPr>
  </w:style>
  <w:style w:type="paragraph" w:styleId="38">
    <w:name w:val="List Paragraph"/>
    <w:basedOn w:val="1"/>
    <w:qFormat/>
    <w:uiPriority w:val="0"/>
    <w:pPr>
      <w:ind w:firstLine="420" w:firstLineChars="200"/>
    </w:pPr>
    <w:rPr>
      <w:rFonts w:ascii="Calibri" w:hAnsi="Calibri" w:eastAsia="宋体" w:cs="Times New Roman"/>
    </w:rPr>
  </w:style>
  <w:style w:type="paragraph" w:customStyle="1" w:styleId="39">
    <w:name w:val="列出段落1"/>
    <w:basedOn w:val="1"/>
    <w:qFormat/>
    <w:uiPriority w:val="0"/>
    <w:pPr>
      <w:ind w:firstLine="420" w:firstLineChars="200"/>
    </w:pPr>
    <w:rPr>
      <w:rFonts w:ascii="Calibri" w:hAnsi="Calibri" w:eastAsia="宋体" w:cs="Times New Roman"/>
      <w:szCs w:val="21"/>
    </w:rPr>
  </w:style>
  <w:style w:type="character" w:customStyle="1" w:styleId="40">
    <w:name w:val="正文文本 3 字符"/>
    <w:link w:val="8"/>
    <w:qFormat/>
    <w:uiPriority w:val="0"/>
    <w:rPr>
      <w:rFonts w:ascii="宋体" w:eastAsia="宋体"/>
      <w:sz w:val="24"/>
    </w:rPr>
  </w:style>
  <w:style w:type="character" w:customStyle="1" w:styleId="41">
    <w:name w:val="正文文本 3 Char1"/>
    <w:basedOn w:val="27"/>
    <w:semiHidden/>
    <w:qFormat/>
    <w:uiPriority w:val="99"/>
    <w:rPr>
      <w:sz w:val="16"/>
      <w:szCs w:val="16"/>
    </w:rPr>
  </w:style>
  <w:style w:type="paragraph" w:customStyle="1" w:styleId="42">
    <w:name w:val="样式 标题 2 + Times New Roman 四号 非加粗 段前: 5 磅 段后: 0 磅 行距: 固定值 20..."/>
    <w:basedOn w:val="3"/>
    <w:qFormat/>
    <w:uiPriority w:val="0"/>
    <w:pPr>
      <w:adjustRightInd/>
      <w:snapToGrid/>
      <w:spacing w:before="100" w:after="0" w:line="400" w:lineRule="exact"/>
      <w:ind w:right="0"/>
      <w:jc w:val="both"/>
    </w:pPr>
    <w:rPr>
      <w:rFonts w:ascii="Times New Roman" w:hAnsi="Times New Roman" w:eastAsia="黑体"/>
      <w:b w:val="0"/>
      <w:sz w:val="28"/>
    </w:rPr>
  </w:style>
  <w:style w:type="paragraph" w:customStyle="1" w:styleId="43">
    <w:name w:val="正文 + 行距: 固定值 20 磅"/>
    <w:basedOn w:val="1"/>
    <w:qFormat/>
    <w:uiPriority w:val="0"/>
    <w:pPr>
      <w:spacing w:line="400" w:lineRule="exact"/>
      <w:ind w:firstLine="716" w:firstLineChars="341"/>
    </w:pPr>
    <w:rPr>
      <w:rFonts w:ascii="Times New Roman" w:hAnsi="Times New Roman" w:eastAsia="宋体" w:cs="Times New Roman"/>
      <w:szCs w:val="20"/>
    </w:rPr>
  </w:style>
  <w:style w:type="character" w:customStyle="1" w:styleId="44">
    <w:name w:val="正文文本 字符"/>
    <w:basedOn w:val="27"/>
    <w:link w:val="9"/>
    <w:qFormat/>
    <w:uiPriority w:val="0"/>
    <w:rPr>
      <w:rFonts w:ascii="Times New Roman" w:hAnsi="Times New Roman" w:eastAsia="宋体" w:cs="Times New Roman"/>
      <w:szCs w:val="20"/>
    </w:rPr>
  </w:style>
  <w:style w:type="character" w:customStyle="1" w:styleId="45">
    <w:name w:val="页脚 字符"/>
    <w:basedOn w:val="27"/>
    <w:link w:val="14"/>
    <w:qFormat/>
    <w:uiPriority w:val="99"/>
    <w:rPr>
      <w:rFonts w:ascii="Times New Roman" w:hAnsi="Times New Roman" w:eastAsia="宋体" w:cs="Times New Roman"/>
      <w:kern w:val="0"/>
      <w:sz w:val="18"/>
      <w:szCs w:val="18"/>
    </w:rPr>
  </w:style>
  <w:style w:type="character" w:customStyle="1" w:styleId="46">
    <w:name w:val="页眉 字符"/>
    <w:basedOn w:val="27"/>
    <w:link w:val="15"/>
    <w:qFormat/>
    <w:uiPriority w:val="99"/>
    <w:rPr>
      <w:rFonts w:ascii="Times New Roman" w:hAnsi="Times New Roman" w:eastAsia="宋体" w:cs="Times New Roman"/>
      <w:sz w:val="18"/>
      <w:szCs w:val="18"/>
    </w:rPr>
  </w:style>
  <w:style w:type="character" w:customStyle="1" w:styleId="47">
    <w:name w:val="批注框文本 字符"/>
    <w:basedOn w:val="27"/>
    <w:link w:val="13"/>
    <w:qFormat/>
    <w:uiPriority w:val="99"/>
    <w:rPr>
      <w:rFonts w:ascii="Times New Roman" w:hAnsi="Times New Roman" w:eastAsia="宋体" w:cs="Times New Roman"/>
      <w:sz w:val="18"/>
      <w:szCs w:val="18"/>
    </w:rPr>
  </w:style>
  <w:style w:type="character" w:customStyle="1" w:styleId="48">
    <w:name w:val="批注文字 字符"/>
    <w:basedOn w:val="27"/>
    <w:link w:val="7"/>
    <w:qFormat/>
    <w:uiPriority w:val="0"/>
    <w:rPr>
      <w:rFonts w:ascii="Times New Roman" w:hAnsi="Times New Roman" w:eastAsia="宋体" w:cs="Times New Roman"/>
      <w:szCs w:val="24"/>
    </w:rPr>
  </w:style>
  <w:style w:type="character" w:customStyle="1" w:styleId="49">
    <w:name w:val="批注主题 字符"/>
    <w:basedOn w:val="48"/>
    <w:link w:val="24"/>
    <w:qFormat/>
    <w:uiPriority w:val="0"/>
    <w:rPr>
      <w:rFonts w:ascii="Times New Roman" w:hAnsi="Times New Roman" w:eastAsia="宋体" w:cs="Times New Roman"/>
      <w:b/>
      <w:bCs/>
      <w:szCs w:val="24"/>
    </w:rPr>
  </w:style>
  <w:style w:type="paragraph" w:customStyle="1" w:styleId="50">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51">
    <w:name w:val="修订11"/>
    <w:hidden/>
    <w:unhideWhenUsed/>
    <w:qFormat/>
    <w:uiPriority w:val="99"/>
    <w:rPr>
      <w:rFonts w:ascii="Times New Roman" w:hAnsi="Times New Roman" w:eastAsia="宋体" w:cs="Times New Roman"/>
      <w:kern w:val="2"/>
      <w:sz w:val="21"/>
      <w:szCs w:val="24"/>
      <w:lang w:val="en-US" w:eastAsia="zh-CN" w:bidi="ar-SA"/>
    </w:rPr>
  </w:style>
  <w:style w:type="character" w:customStyle="1" w:styleId="52">
    <w:name w:val="HTML 预设格式 字符"/>
    <w:basedOn w:val="27"/>
    <w:link w:val="21"/>
    <w:qFormat/>
    <w:uiPriority w:val="99"/>
    <w:rPr>
      <w:rFonts w:ascii="Arial" w:hAnsi="Arial" w:eastAsia="宋体" w:cs="Times New Roman"/>
      <w:szCs w:val="24"/>
    </w:rPr>
  </w:style>
  <w:style w:type="paragraph" w:customStyle="1" w:styleId="53">
    <w:name w:val="xl65"/>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54">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6">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eastAsia="宋体" w:cs="宋体"/>
      <w:kern w:val="0"/>
      <w:sz w:val="20"/>
      <w:szCs w:val="20"/>
    </w:rPr>
  </w:style>
  <w:style w:type="paragraph" w:customStyle="1" w:styleId="5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59">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6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1">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2">
    <w:name w:val="p15"/>
    <w:basedOn w:val="1"/>
    <w:qFormat/>
    <w:uiPriority w:val="0"/>
    <w:pPr>
      <w:widowControl/>
      <w:ind w:firstLine="420"/>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1825</Words>
  <Characters>1852</Characters>
  <Lines>16</Lines>
  <Paragraphs>4</Paragraphs>
  <TotalTime>5</TotalTime>
  <ScaleCrop>false</ScaleCrop>
  <LinksUpToDate>false</LinksUpToDate>
  <CharactersWithSpaces>1853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2021-05-18T01:21:00Z</dcterms:created>
  <dc:creator>lujinzhi</dc:creator>
  <cp:lastModifiedBy>人生</cp:lastModifiedBy>
  <dcterms:modified xsi:type="dcterms:W3CDTF">2023-03-20T06:50:02Z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FE1C81D6C44F4BB7A33A73D09F36969E</vt:lpwstr>
  </property>
  <property fmtid="{D5CDD505-2E9C-101B-9397-08002B2CF9AE}" pid="4" name="commondata">
    <vt:lpwstr>eyJoZGlkIjoiMDJiNDFhOTIzOGI5MmJmZDU2ZDllMTkxMmYyYTVlNjMifQ==</vt:lpwstr>
  </property>
</Properties>
</file>