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3D370">
      <w:pPr>
        <w:jc w:val="center"/>
        <w:rPr>
          <w:b/>
          <w:sz w:val="32"/>
          <w:szCs w:val="32"/>
        </w:rPr>
      </w:pPr>
      <w:r>
        <w:rPr>
          <w:rFonts w:hint="eastAsia"/>
          <w:b/>
          <w:sz w:val="32"/>
          <w:szCs w:val="32"/>
        </w:rPr>
        <w:t>招标工程量清单编制说明</w:t>
      </w:r>
    </w:p>
    <w:p w14:paraId="28664492">
      <w:pPr>
        <w:spacing w:line="360" w:lineRule="auto"/>
        <w:ind w:firstLine="442" w:firstLineChars="200"/>
        <w:rPr>
          <w:rFonts w:asciiTheme="minorEastAsia" w:hAnsiTheme="minorEastAsia"/>
          <w:b/>
          <w:sz w:val="22"/>
        </w:rPr>
      </w:pPr>
      <w:bookmarkStart w:id="0" w:name="OLE_LINK1"/>
      <w:r>
        <w:rPr>
          <w:rFonts w:hint="eastAsia" w:asciiTheme="minorEastAsia" w:hAnsiTheme="minorEastAsia"/>
          <w:b/>
          <w:sz w:val="22"/>
        </w:rPr>
        <w:t>一、工程概况</w:t>
      </w:r>
    </w:p>
    <w:p w14:paraId="3E68D8E0">
      <w:p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rPr>
        <w:t>南京大学仙林校区游泳馆铝板更换工程，</w:t>
      </w:r>
      <w:r>
        <w:rPr>
          <w:rFonts w:hint="eastAsia" w:asciiTheme="minorEastAsia" w:hAnsiTheme="minorEastAsia"/>
          <w:color w:val="auto"/>
          <w:sz w:val="22"/>
          <w:lang w:val="en-US" w:eastAsia="zh-CN"/>
        </w:rPr>
        <w:t>本项目拟对铝板墙面进行维修与更换。</w:t>
      </w:r>
    </w:p>
    <w:p w14:paraId="7CABE8BC">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14:paraId="5D9CCC3E">
      <w:pPr>
        <w:spacing w:line="360" w:lineRule="auto"/>
        <w:ind w:firstLine="440" w:firstLineChars="200"/>
        <w:rPr>
          <w:rFonts w:asciiTheme="minorEastAsia" w:hAnsiTheme="minorEastAsia"/>
          <w:b/>
          <w:i/>
          <w:color w:val="auto"/>
          <w:sz w:val="22"/>
          <w:u w:val="single"/>
        </w:rPr>
      </w:pPr>
      <w:r>
        <w:rPr>
          <w:rFonts w:hint="eastAsia" w:asciiTheme="minorEastAsia" w:hAnsiTheme="minorEastAsia"/>
          <w:color w:val="auto"/>
          <w:sz w:val="22"/>
        </w:rPr>
        <w:t>本次改造内容主要包括</w:t>
      </w:r>
      <w:r>
        <w:rPr>
          <w:rFonts w:hint="eastAsia" w:asciiTheme="minorEastAsia" w:hAnsiTheme="minorEastAsia"/>
          <w:color w:val="auto"/>
          <w:sz w:val="22"/>
          <w:lang w:val="en-US" w:eastAsia="zh-CN"/>
        </w:rPr>
        <w:t>铝单板和穿孔铝板墙面等</w:t>
      </w:r>
      <w:r>
        <w:rPr>
          <w:rFonts w:hint="eastAsia" w:asciiTheme="minorEastAsia" w:hAnsiTheme="minorEastAsia"/>
          <w:color w:val="auto"/>
          <w:sz w:val="22"/>
        </w:rPr>
        <w:t>。</w:t>
      </w:r>
    </w:p>
    <w:bookmarkEnd w:id="0"/>
    <w:p w14:paraId="7D3AAA6D">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14:paraId="47196A6D">
      <w:pPr>
        <w:spacing w:line="360" w:lineRule="auto"/>
        <w:ind w:firstLine="440" w:firstLineChars="200"/>
        <w:rPr>
          <w:rFonts w:hint="eastAsia" w:asciiTheme="minorEastAsia" w:hAnsiTheme="minorEastAsia"/>
          <w:sz w:val="22"/>
        </w:rPr>
      </w:pPr>
      <w:r>
        <w:rPr>
          <w:rFonts w:hint="eastAsia" w:asciiTheme="minorEastAsia" w:hAnsiTheme="minorEastAsia"/>
          <w:color w:val="auto"/>
          <w:sz w:val="22"/>
        </w:rPr>
        <w:t>1、南京大学仙林校区游泳馆</w:t>
      </w:r>
      <w:r>
        <w:rPr>
          <w:rFonts w:hint="eastAsia" w:asciiTheme="minorEastAsia" w:hAnsiTheme="minorEastAsia"/>
          <w:color w:val="auto"/>
          <w:sz w:val="22"/>
          <w:lang w:val="en-US" w:eastAsia="zh-CN"/>
        </w:rPr>
        <w:t>现状</w:t>
      </w:r>
      <w:r>
        <w:rPr>
          <w:rFonts w:hint="eastAsia" w:asciiTheme="minorEastAsia" w:hAnsiTheme="minorEastAsia"/>
          <w:sz w:val="22"/>
        </w:rPr>
        <w:t>。</w:t>
      </w:r>
    </w:p>
    <w:p w14:paraId="5FD62C80">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14:paraId="09EAB275">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14:paraId="5A2FB7DD">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14:paraId="711E9F88">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③《通用安装工程工程量计算规范》（GB50856-2013）</w:t>
      </w:r>
    </w:p>
    <w:p w14:paraId="3200B6C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eastAsia="zh-CN"/>
        </w:rPr>
        <w:t>④</w:t>
      </w:r>
      <w:r>
        <w:rPr>
          <w:rFonts w:hint="eastAsia" w:asciiTheme="minorEastAsia" w:hAnsiTheme="minorEastAsia"/>
          <w:color w:val="auto"/>
          <w:sz w:val="22"/>
        </w:rPr>
        <w:t>现行相关补充或调整文件</w:t>
      </w:r>
    </w:p>
    <w:p w14:paraId="121E3413">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14:paraId="4EDF2DA4">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14:paraId="3CF24F14">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1、《省住房城乡建设厅关于建筑业实施营改增后江苏省建设工程计价依据调整的通知》 苏建价（2016）154号文及相关附件。</w:t>
      </w:r>
    </w:p>
    <w:p w14:paraId="0FDFA2DA">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14:paraId="51AAEAB1">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14:paraId="7728BFD7">
      <w:pPr>
        <w:spacing w:line="360" w:lineRule="auto"/>
        <w:ind w:firstLine="440" w:firstLineChars="200"/>
        <w:rPr>
          <w:rFonts w:hint="eastAsia" w:asciiTheme="minorEastAsia" w:hAnsiTheme="minorEastAsia" w:eastAsiaTheme="minorEastAsia"/>
          <w:color w:val="auto"/>
          <w:sz w:val="22"/>
          <w:lang w:eastAsia="zh-CN"/>
        </w:rPr>
      </w:pPr>
      <w:r>
        <w:rPr>
          <w:rFonts w:hint="eastAsia" w:asciiTheme="minorEastAsia" w:hAnsiTheme="minorEastAsia"/>
          <w:color w:val="auto"/>
          <w:sz w:val="22"/>
        </w:rPr>
        <w:t>4、《省住房城乡建设厅关于建筑工人实名制费用计取方法的公告》〔2019〕第19号</w:t>
      </w:r>
      <w:r>
        <w:rPr>
          <w:rFonts w:hint="eastAsia" w:asciiTheme="minorEastAsia" w:hAnsiTheme="minorEastAsia"/>
          <w:color w:val="auto"/>
          <w:sz w:val="22"/>
          <w:lang w:eastAsia="zh-CN"/>
        </w:rPr>
        <w:t>。</w:t>
      </w:r>
    </w:p>
    <w:p w14:paraId="1CCF676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5</w:t>
      </w:r>
      <w:r>
        <w:rPr>
          <w:rFonts w:hint="eastAsia" w:asciiTheme="minorEastAsia" w:hAnsiTheme="minorEastAsia"/>
          <w:color w:val="auto"/>
          <w:sz w:val="22"/>
        </w:rPr>
        <w:t>、政策性文件及报价参考执行投标截止日前省市建委造价有关文件，投标截止日后的省市建委造价文件不予执行。</w:t>
      </w:r>
    </w:p>
    <w:p w14:paraId="66BDC2B5">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6</w:t>
      </w:r>
      <w:r>
        <w:rPr>
          <w:rFonts w:hint="eastAsia" w:asciiTheme="minorEastAsia" w:hAnsiTheme="minorEastAsia"/>
          <w:color w:val="auto"/>
          <w:sz w:val="22"/>
        </w:rPr>
        <w:t>、人工工资参考江苏省建设工程人工工资指导价自主报价，其它费用按照省市建委发布的有关文件及政策规定等执行，报价参考执行投标截止日前省建设厅、市建委造价有关文件。</w:t>
      </w:r>
    </w:p>
    <w:p w14:paraId="63E78571">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7</w:t>
      </w:r>
      <w:r>
        <w:rPr>
          <w:rFonts w:hint="eastAsia" w:asciiTheme="minorEastAsia" w:hAnsiTheme="minorEastAsia"/>
          <w:color w:val="auto"/>
          <w:sz w:val="22"/>
        </w:rPr>
        <w:t>、暂列金额及暂估价：</w:t>
      </w:r>
    </w:p>
    <w:p w14:paraId="20C8FFBF">
      <w:pPr>
        <w:spacing w:line="360" w:lineRule="auto"/>
        <w:ind w:firstLine="440" w:firstLineChars="200"/>
        <w:rPr>
          <w:rFonts w:hint="eastAsia" w:asciiTheme="minorEastAsia" w:hAnsiTheme="minorEastAsia" w:eastAsiaTheme="minorEastAsia"/>
          <w:b/>
          <w:color w:val="auto"/>
          <w:sz w:val="22"/>
          <w:lang w:eastAsia="zh-CN"/>
        </w:rPr>
      </w:pPr>
      <w:r>
        <w:rPr>
          <w:rFonts w:hint="eastAsia" w:asciiTheme="minorEastAsia" w:hAnsiTheme="minorEastAsia"/>
          <w:color w:val="auto"/>
          <w:sz w:val="22"/>
        </w:rPr>
        <w:t>（1）暂列金额：有</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详见清单</w:t>
      </w:r>
      <w:r>
        <w:rPr>
          <w:rFonts w:hint="eastAsia" w:asciiTheme="minorEastAsia" w:hAnsiTheme="minorEastAsia"/>
          <w:color w:val="auto"/>
          <w:sz w:val="22"/>
          <w:lang w:eastAsia="zh-CN"/>
        </w:rPr>
        <w:t>。</w:t>
      </w:r>
    </w:p>
    <w:p w14:paraId="5E5878B6">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（2）暂估价：无。</w:t>
      </w:r>
    </w:p>
    <w:p w14:paraId="795681FC">
      <w:pPr>
        <w:spacing w:line="360" w:lineRule="auto"/>
        <w:ind w:firstLine="442" w:firstLineChars="200"/>
        <w:rPr>
          <w:rFonts w:asciiTheme="minorEastAsia" w:hAnsiTheme="minorEastAsia"/>
          <w:sz w:val="22"/>
        </w:rPr>
      </w:pPr>
      <w:r>
        <w:rPr>
          <w:rFonts w:hint="eastAsia" w:asciiTheme="minorEastAsia" w:hAnsiTheme="minorEastAsia"/>
          <w:b/>
          <w:sz w:val="22"/>
        </w:rPr>
        <w:t>五、工程量计算中的相关说明</w:t>
      </w:r>
    </w:p>
    <w:p w14:paraId="56DD6874">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工程量清单应与招标文件等文件结合起来查阅与理解。工程量清单中所描述的项目特征仅为招标人对该分部分项目工程特征的概述，而非是工程特征的全面描述，报价时必须按设计图纸及相关的国家规范的要求。</w:t>
      </w:r>
    </w:p>
    <w:p w14:paraId="53C0B1CB">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2</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工程量根据原有设计图结合现场情况考虑计入。</w:t>
      </w:r>
    </w:p>
    <w:p w14:paraId="35F1FCC2">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（3）拆除铝板保留，龙骨投标人自行处置，不得堆放现场。</w:t>
      </w:r>
    </w:p>
    <w:p w14:paraId="121CAA3A">
      <w:pPr>
        <w:spacing w:line="360" w:lineRule="auto"/>
        <w:ind w:firstLine="440" w:firstLineChars="200"/>
        <w:rPr>
          <w:rFonts w:hint="default" w:asciiTheme="minorEastAsia" w:hAnsiTheme="minorEastAsia"/>
          <w:color w:val="auto"/>
          <w:sz w:val="22"/>
          <w:lang w:val="en-US" w:eastAsia="zh-CN"/>
        </w:rPr>
      </w:pPr>
      <w:r>
        <w:rPr>
          <w:rFonts w:hint="eastAsia" w:asciiTheme="minorEastAsia" w:hAnsiTheme="minorEastAsia"/>
          <w:color w:val="auto"/>
          <w:sz w:val="22"/>
          <w:lang w:val="en-US" w:eastAsia="zh-CN"/>
        </w:rPr>
        <w:t>（4）新做铝板工程量按原铝板工程量的10%考虑计入。</w:t>
      </w:r>
    </w:p>
    <w:p w14:paraId="29E2AC26">
      <w:pPr>
        <w:spacing w:line="360" w:lineRule="auto"/>
        <w:ind w:firstLine="663" w:firstLineChars="300"/>
        <w:rPr>
          <w:rFonts w:asciiTheme="minorEastAsia" w:hAnsiTheme="minorEastAsia"/>
          <w:b/>
          <w:color w:val="auto"/>
          <w:sz w:val="22"/>
        </w:rPr>
      </w:pPr>
      <w:r>
        <w:rPr>
          <w:rFonts w:hint="eastAsia" w:asciiTheme="minorEastAsia" w:hAnsiTheme="minorEastAsia"/>
          <w:b/>
          <w:color w:val="auto"/>
          <w:sz w:val="22"/>
        </w:rPr>
        <w:t>六、主要材料设备</w:t>
      </w:r>
    </w:p>
    <w:p w14:paraId="00C30C50">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（一）投标人负责采购的主要材料设备</w:t>
      </w:r>
    </w:p>
    <w:p w14:paraId="02273FB0">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0C99F607">
      <w:pPr>
        <w:numPr>
          <w:ilvl w:val="0"/>
          <w:numId w:val="1"/>
        </w:num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rPr>
        <w:t>本项目主要材料品牌推荐表如下：</w:t>
      </w:r>
    </w:p>
    <w:p w14:paraId="58035F17">
      <w:pPr>
        <w:numPr>
          <w:ilvl w:val="0"/>
          <w:numId w:val="0"/>
        </w:numPr>
        <w:spacing w:line="360" w:lineRule="auto"/>
        <w:rPr>
          <w:rFonts w:hint="default" w:asciiTheme="minorEastAsia" w:hAnsiTheme="minorEastAsia" w:eastAsiaTheme="minorEastAsia"/>
          <w:color w:val="auto"/>
          <w:sz w:val="22"/>
          <w:lang w:val="en-US" w:eastAsia="zh-CN"/>
        </w:rPr>
      </w:pPr>
    </w:p>
    <w:tbl>
      <w:tblPr>
        <w:tblStyle w:val="6"/>
        <w:tblW w:w="52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981"/>
        <w:gridCol w:w="2076"/>
        <w:gridCol w:w="3908"/>
        <w:gridCol w:w="1060"/>
      </w:tblGrid>
      <w:tr w14:paraId="09F4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14:paraId="5995175E">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序号</w:t>
            </w:r>
          </w:p>
        </w:tc>
        <w:tc>
          <w:tcPr>
            <w:tcW w:w="1014" w:type="pct"/>
            <w:vAlign w:val="center"/>
          </w:tcPr>
          <w:p w14:paraId="1DA49A65">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材料设备名称</w:t>
            </w:r>
          </w:p>
        </w:tc>
        <w:tc>
          <w:tcPr>
            <w:tcW w:w="1063" w:type="pct"/>
            <w:vAlign w:val="center"/>
          </w:tcPr>
          <w:p w14:paraId="2E45F0D8">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推荐品牌（系列）</w:t>
            </w:r>
          </w:p>
        </w:tc>
        <w:tc>
          <w:tcPr>
            <w:tcW w:w="2001" w:type="pct"/>
            <w:vAlign w:val="center"/>
          </w:tcPr>
          <w:p w14:paraId="7B455AF6">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制造商名称</w:t>
            </w:r>
          </w:p>
        </w:tc>
        <w:tc>
          <w:tcPr>
            <w:tcW w:w="542" w:type="pct"/>
            <w:vAlign w:val="center"/>
          </w:tcPr>
          <w:p w14:paraId="5C7FB2C7">
            <w:pPr>
              <w:spacing w:line="360" w:lineRule="auto"/>
              <w:jc w:val="center"/>
              <w:rPr>
                <w:rFonts w:asciiTheme="minorEastAsia" w:hAnsiTheme="minorEastAsia"/>
                <w:color w:val="auto"/>
                <w:sz w:val="20"/>
                <w:szCs w:val="20"/>
              </w:rPr>
            </w:pPr>
            <w:r>
              <w:rPr>
                <w:rFonts w:hint="eastAsia" w:asciiTheme="minorEastAsia" w:hAnsiTheme="minorEastAsia"/>
                <w:color w:val="auto"/>
                <w:sz w:val="20"/>
                <w:szCs w:val="20"/>
              </w:rPr>
              <w:t>备注</w:t>
            </w:r>
          </w:p>
        </w:tc>
      </w:tr>
      <w:tr w14:paraId="45DA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14:paraId="024624A8">
            <w:pPr>
              <w:spacing w:line="360" w:lineRule="auto"/>
              <w:jc w:val="center"/>
              <w:rPr>
                <w:rFonts w:hint="default"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1</w:t>
            </w:r>
          </w:p>
        </w:tc>
        <w:tc>
          <w:tcPr>
            <w:tcW w:w="1014" w:type="pct"/>
            <w:vMerge w:val="restart"/>
            <w:vAlign w:val="center"/>
          </w:tcPr>
          <w:p w14:paraId="1C40182F">
            <w:pPr>
              <w:spacing w:line="360" w:lineRule="auto"/>
              <w:jc w:val="center"/>
              <w:rPr>
                <w:rFonts w:hint="default"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铝板</w:t>
            </w:r>
          </w:p>
        </w:tc>
        <w:tc>
          <w:tcPr>
            <w:tcW w:w="1063" w:type="pct"/>
            <w:vAlign w:val="center"/>
          </w:tcPr>
          <w:p w14:paraId="391BD701">
            <w:pPr>
              <w:spacing w:line="360" w:lineRule="auto"/>
              <w:jc w:val="center"/>
              <w:rPr>
                <w:rFonts w:hint="eastAsia" w:asciiTheme="minorEastAsia" w:hAnsiTheme="minorEastAsia"/>
                <w:color w:val="auto"/>
                <w:sz w:val="20"/>
                <w:szCs w:val="20"/>
              </w:rPr>
            </w:pPr>
            <w:r>
              <w:rPr>
                <w:rFonts w:hint="eastAsia"/>
              </w:rPr>
              <w:t>汇隆</w:t>
            </w:r>
          </w:p>
        </w:tc>
        <w:tc>
          <w:tcPr>
            <w:tcW w:w="2001" w:type="pct"/>
            <w:vAlign w:val="center"/>
          </w:tcPr>
          <w:p w14:paraId="634BB170">
            <w:pPr>
              <w:spacing w:line="360" w:lineRule="auto"/>
              <w:jc w:val="center"/>
              <w:rPr>
                <w:rFonts w:hint="eastAsia" w:asciiTheme="minorEastAsia" w:hAnsiTheme="minorEastAsia"/>
                <w:color w:val="auto"/>
                <w:sz w:val="20"/>
                <w:szCs w:val="20"/>
              </w:rPr>
            </w:pPr>
            <w:r>
              <w:rPr>
                <w:rFonts w:hint="eastAsia"/>
              </w:rPr>
              <w:t>佛山市长盛汇隆装饰材料有限公司</w:t>
            </w:r>
          </w:p>
        </w:tc>
        <w:tc>
          <w:tcPr>
            <w:tcW w:w="542" w:type="pct"/>
            <w:vAlign w:val="center"/>
          </w:tcPr>
          <w:p w14:paraId="3425F80B">
            <w:pPr>
              <w:spacing w:line="360" w:lineRule="auto"/>
              <w:jc w:val="center"/>
              <w:rPr>
                <w:rFonts w:asciiTheme="minorEastAsia" w:hAnsiTheme="minorEastAsia"/>
                <w:color w:val="auto"/>
                <w:sz w:val="20"/>
                <w:szCs w:val="20"/>
              </w:rPr>
            </w:pPr>
          </w:p>
        </w:tc>
      </w:tr>
      <w:tr w14:paraId="5034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15A6C389">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2E09AB6E">
            <w:pPr>
              <w:spacing w:line="360" w:lineRule="auto"/>
              <w:jc w:val="center"/>
              <w:rPr>
                <w:rFonts w:asciiTheme="minorEastAsia" w:hAnsiTheme="minorEastAsia"/>
                <w:color w:val="auto"/>
                <w:sz w:val="20"/>
                <w:szCs w:val="20"/>
              </w:rPr>
            </w:pPr>
          </w:p>
        </w:tc>
        <w:tc>
          <w:tcPr>
            <w:tcW w:w="1063" w:type="pct"/>
            <w:vAlign w:val="center"/>
          </w:tcPr>
          <w:p w14:paraId="4DF3C53B">
            <w:pPr>
              <w:spacing w:line="360" w:lineRule="auto"/>
              <w:jc w:val="center"/>
              <w:rPr>
                <w:rFonts w:hint="eastAsia" w:asciiTheme="minorEastAsia" w:hAnsiTheme="minorEastAsia"/>
                <w:color w:val="auto"/>
                <w:sz w:val="20"/>
                <w:szCs w:val="20"/>
              </w:rPr>
            </w:pPr>
            <w:r>
              <w:rPr>
                <w:rFonts w:hint="eastAsia"/>
              </w:rPr>
              <w:t>马斯德克</w:t>
            </w:r>
          </w:p>
        </w:tc>
        <w:tc>
          <w:tcPr>
            <w:tcW w:w="2001" w:type="pct"/>
            <w:vAlign w:val="center"/>
          </w:tcPr>
          <w:p w14:paraId="1ABF79BB">
            <w:pPr>
              <w:spacing w:line="360" w:lineRule="auto"/>
              <w:jc w:val="center"/>
              <w:rPr>
                <w:rFonts w:hint="eastAsia" w:asciiTheme="minorEastAsia" w:hAnsiTheme="minorEastAsia"/>
                <w:color w:val="auto"/>
                <w:sz w:val="20"/>
                <w:szCs w:val="20"/>
              </w:rPr>
            </w:pPr>
            <w:r>
              <w:rPr>
                <w:rFonts w:hint="eastAsia"/>
              </w:rPr>
              <w:t>南京马斯德克金属制品有限公司</w:t>
            </w:r>
          </w:p>
        </w:tc>
        <w:tc>
          <w:tcPr>
            <w:tcW w:w="542" w:type="pct"/>
            <w:vAlign w:val="center"/>
          </w:tcPr>
          <w:p w14:paraId="7A9BC3D3">
            <w:pPr>
              <w:spacing w:line="360" w:lineRule="auto"/>
              <w:jc w:val="center"/>
              <w:rPr>
                <w:rFonts w:asciiTheme="minorEastAsia" w:hAnsiTheme="minorEastAsia"/>
                <w:color w:val="auto"/>
                <w:sz w:val="20"/>
                <w:szCs w:val="20"/>
              </w:rPr>
            </w:pPr>
          </w:p>
        </w:tc>
      </w:tr>
      <w:tr w14:paraId="5B96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01671D4E">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730526CA">
            <w:pPr>
              <w:spacing w:line="360" w:lineRule="auto"/>
              <w:jc w:val="center"/>
              <w:rPr>
                <w:rFonts w:asciiTheme="minorEastAsia" w:hAnsiTheme="minorEastAsia"/>
                <w:color w:val="auto"/>
                <w:sz w:val="20"/>
                <w:szCs w:val="20"/>
              </w:rPr>
            </w:pPr>
          </w:p>
        </w:tc>
        <w:tc>
          <w:tcPr>
            <w:tcW w:w="1063" w:type="pct"/>
            <w:vAlign w:val="center"/>
          </w:tcPr>
          <w:p w14:paraId="1DA04EE2">
            <w:pPr>
              <w:spacing w:line="360" w:lineRule="auto"/>
              <w:jc w:val="center"/>
              <w:rPr>
                <w:rFonts w:hint="eastAsia" w:asciiTheme="minorEastAsia" w:hAnsiTheme="minorEastAsia"/>
                <w:color w:val="auto"/>
                <w:sz w:val="20"/>
                <w:szCs w:val="20"/>
              </w:rPr>
            </w:pPr>
            <w:r>
              <w:rPr>
                <w:rFonts w:hint="eastAsia"/>
              </w:rPr>
              <w:t>欧斯宝</w:t>
            </w:r>
          </w:p>
        </w:tc>
        <w:tc>
          <w:tcPr>
            <w:tcW w:w="2001" w:type="pct"/>
            <w:vAlign w:val="center"/>
          </w:tcPr>
          <w:p w14:paraId="0747F380">
            <w:pPr>
              <w:spacing w:line="360" w:lineRule="auto"/>
              <w:jc w:val="center"/>
              <w:rPr>
                <w:rFonts w:hint="eastAsia" w:asciiTheme="minorEastAsia" w:hAnsiTheme="minorEastAsia"/>
                <w:color w:val="auto"/>
                <w:sz w:val="20"/>
                <w:szCs w:val="20"/>
              </w:rPr>
            </w:pPr>
            <w:r>
              <w:rPr>
                <w:rFonts w:hint="eastAsia"/>
              </w:rPr>
              <w:t>广州市欧斯宝金属制品有限公司</w:t>
            </w:r>
          </w:p>
        </w:tc>
        <w:tc>
          <w:tcPr>
            <w:tcW w:w="542" w:type="pct"/>
            <w:vAlign w:val="center"/>
          </w:tcPr>
          <w:p w14:paraId="0586653F">
            <w:pPr>
              <w:spacing w:line="360" w:lineRule="auto"/>
              <w:jc w:val="center"/>
              <w:rPr>
                <w:rFonts w:asciiTheme="minorEastAsia" w:hAnsiTheme="minorEastAsia"/>
                <w:color w:val="auto"/>
                <w:sz w:val="20"/>
                <w:szCs w:val="20"/>
              </w:rPr>
            </w:pPr>
          </w:p>
        </w:tc>
      </w:tr>
      <w:tr w14:paraId="33F0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14:paraId="3A2A9865">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vAlign w:val="center"/>
          </w:tcPr>
          <w:p w14:paraId="45D104F0">
            <w:pPr>
              <w:spacing w:line="360" w:lineRule="auto"/>
              <w:jc w:val="center"/>
              <w:rPr>
                <w:rFonts w:asciiTheme="minorEastAsia" w:hAnsiTheme="minorEastAsia"/>
                <w:color w:val="auto"/>
                <w:sz w:val="20"/>
                <w:szCs w:val="20"/>
              </w:rPr>
            </w:pPr>
          </w:p>
        </w:tc>
        <w:tc>
          <w:tcPr>
            <w:tcW w:w="1063" w:type="pct"/>
            <w:vAlign w:val="center"/>
          </w:tcPr>
          <w:p w14:paraId="6B17BF07">
            <w:pPr>
              <w:spacing w:line="360" w:lineRule="auto"/>
              <w:jc w:val="center"/>
              <w:rPr>
                <w:rFonts w:hint="eastAsia" w:asciiTheme="minorEastAsia" w:hAnsiTheme="minorEastAsia"/>
                <w:color w:val="auto"/>
                <w:sz w:val="20"/>
                <w:szCs w:val="20"/>
              </w:rPr>
            </w:pPr>
            <w:r>
              <w:rPr>
                <w:rFonts w:hint="eastAsia"/>
              </w:rPr>
              <w:t>欧陆</w:t>
            </w:r>
          </w:p>
        </w:tc>
        <w:tc>
          <w:tcPr>
            <w:tcW w:w="2001" w:type="pct"/>
            <w:vAlign w:val="center"/>
          </w:tcPr>
          <w:p w14:paraId="65EC7D95">
            <w:pPr>
              <w:spacing w:line="360" w:lineRule="auto"/>
              <w:jc w:val="center"/>
              <w:rPr>
                <w:rFonts w:hint="eastAsia" w:asciiTheme="minorEastAsia" w:hAnsiTheme="minorEastAsia"/>
                <w:color w:val="auto"/>
                <w:sz w:val="20"/>
                <w:szCs w:val="20"/>
              </w:rPr>
            </w:pPr>
            <w:r>
              <w:rPr>
                <w:rFonts w:hint="eastAsia"/>
              </w:rPr>
              <w:t>广州市欧陆建材有限公司</w:t>
            </w:r>
          </w:p>
        </w:tc>
        <w:tc>
          <w:tcPr>
            <w:tcW w:w="542" w:type="pct"/>
            <w:vAlign w:val="center"/>
          </w:tcPr>
          <w:p w14:paraId="7B8B6120">
            <w:pPr>
              <w:spacing w:line="360" w:lineRule="auto"/>
              <w:jc w:val="center"/>
              <w:rPr>
                <w:rFonts w:asciiTheme="minorEastAsia" w:hAnsiTheme="minorEastAsia"/>
                <w:color w:val="auto"/>
                <w:sz w:val="20"/>
                <w:szCs w:val="20"/>
              </w:rPr>
            </w:pPr>
          </w:p>
        </w:tc>
      </w:tr>
      <w:tr w14:paraId="35AD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14:paraId="23C421F4">
            <w:pPr>
              <w:spacing w:line="360" w:lineRule="auto"/>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cstheme="minorEastAsia"/>
                <w:color w:val="auto"/>
                <w:sz w:val="20"/>
                <w:szCs w:val="20"/>
                <w:lang w:val="en-US" w:eastAsia="zh-CN"/>
              </w:rPr>
              <w:t>2</w:t>
            </w:r>
          </w:p>
        </w:tc>
        <w:tc>
          <w:tcPr>
            <w:tcW w:w="1014" w:type="pct"/>
            <w:vMerge w:val="restart"/>
            <w:vAlign w:val="center"/>
          </w:tcPr>
          <w:p w14:paraId="1F427BBE">
            <w:pPr>
              <w:spacing w:line="360" w:lineRule="auto"/>
              <w:jc w:val="center"/>
              <w:rPr>
                <w:rFonts w:hint="eastAsia" w:asciiTheme="minorEastAsia" w:hAnsiTheme="minorEastAsia" w:eastAsiaTheme="minorEastAsia"/>
                <w:color w:val="auto"/>
                <w:sz w:val="20"/>
                <w:szCs w:val="20"/>
                <w:lang w:val="en-US" w:eastAsia="zh-CN"/>
              </w:rPr>
            </w:pPr>
            <w:r>
              <w:rPr>
                <w:rFonts w:hint="eastAsia" w:asciiTheme="minorEastAsia" w:hAnsiTheme="minorEastAsia"/>
                <w:color w:val="auto"/>
                <w:sz w:val="20"/>
                <w:szCs w:val="20"/>
                <w:lang w:val="en-US" w:eastAsia="zh-CN"/>
              </w:rPr>
              <w:t>轻钢龙骨</w:t>
            </w:r>
            <w:bookmarkStart w:id="1" w:name="_GoBack"/>
            <w:bookmarkEnd w:id="1"/>
          </w:p>
        </w:tc>
        <w:tc>
          <w:tcPr>
            <w:tcW w:w="1063" w:type="pct"/>
            <w:vAlign w:val="center"/>
          </w:tcPr>
          <w:p w14:paraId="7C11C155">
            <w:pPr>
              <w:spacing w:line="360" w:lineRule="auto"/>
              <w:jc w:val="center"/>
              <w:rPr>
                <w:rFonts w:hint="eastAsia"/>
              </w:rPr>
            </w:pPr>
            <w:r>
              <w:rPr>
                <w:rFonts w:hint="eastAsia"/>
              </w:rPr>
              <w:t>龙牌</w:t>
            </w:r>
          </w:p>
        </w:tc>
        <w:tc>
          <w:tcPr>
            <w:tcW w:w="2001" w:type="pct"/>
            <w:vAlign w:val="center"/>
          </w:tcPr>
          <w:p w14:paraId="3AE5F4E1">
            <w:pPr>
              <w:spacing w:line="360" w:lineRule="auto"/>
              <w:jc w:val="center"/>
              <w:rPr>
                <w:rFonts w:hint="eastAsia"/>
              </w:rPr>
            </w:pPr>
            <w:r>
              <w:rPr>
                <w:rFonts w:hint="eastAsia"/>
              </w:rPr>
              <w:t>北新集团建材股份有限公司</w:t>
            </w:r>
          </w:p>
        </w:tc>
        <w:tc>
          <w:tcPr>
            <w:tcW w:w="542" w:type="pct"/>
            <w:vAlign w:val="center"/>
          </w:tcPr>
          <w:p w14:paraId="58FD4B16">
            <w:pPr>
              <w:spacing w:line="360" w:lineRule="auto"/>
              <w:jc w:val="center"/>
              <w:rPr>
                <w:rFonts w:asciiTheme="minorEastAsia" w:hAnsiTheme="minorEastAsia"/>
                <w:color w:val="auto"/>
                <w:sz w:val="20"/>
                <w:szCs w:val="20"/>
              </w:rPr>
            </w:pPr>
          </w:p>
        </w:tc>
      </w:tr>
      <w:tr w14:paraId="057C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tcBorders/>
            <w:vAlign w:val="center"/>
          </w:tcPr>
          <w:p w14:paraId="6A97BF06">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tcBorders/>
            <w:vAlign w:val="center"/>
          </w:tcPr>
          <w:p w14:paraId="0243131D">
            <w:pPr>
              <w:spacing w:line="360" w:lineRule="auto"/>
              <w:jc w:val="center"/>
              <w:rPr>
                <w:rFonts w:asciiTheme="minorEastAsia" w:hAnsiTheme="minorEastAsia"/>
                <w:color w:val="auto"/>
                <w:sz w:val="20"/>
                <w:szCs w:val="20"/>
              </w:rPr>
            </w:pPr>
          </w:p>
        </w:tc>
        <w:tc>
          <w:tcPr>
            <w:tcW w:w="1063" w:type="pct"/>
            <w:vAlign w:val="center"/>
          </w:tcPr>
          <w:p w14:paraId="24D0151E">
            <w:pPr>
              <w:spacing w:line="360" w:lineRule="auto"/>
              <w:jc w:val="center"/>
              <w:rPr>
                <w:rFonts w:hint="eastAsia"/>
              </w:rPr>
            </w:pPr>
            <w:r>
              <w:rPr>
                <w:rFonts w:hint="eastAsia"/>
              </w:rPr>
              <w:t>杰科</w:t>
            </w:r>
          </w:p>
        </w:tc>
        <w:tc>
          <w:tcPr>
            <w:tcW w:w="2001" w:type="pct"/>
            <w:vAlign w:val="center"/>
          </w:tcPr>
          <w:p w14:paraId="2C085496">
            <w:pPr>
              <w:spacing w:line="360" w:lineRule="auto"/>
              <w:jc w:val="center"/>
              <w:rPr>
                <w:rFonts w:hint="eastAsia"/>
              </w:rPr>
            </w:pPr>
            <w:r>
              <w:rPr>
                <w:rFonts w:hint="eastAsia"/>
              </w:rPr>
              <w:t>圣戈班(中国)投资有限公司</w:t>
            </w:r>
          </w:p>
        </w:tc>
        <w:tc>
          <w:tcPr>
            <w:tcW w:w="542" w:type="pct"/>
            <w:vAlign w:val="center"/>
          </w:tcPr>
          <w:p w14:paraId="36B6FB33">
            <w:pPr>
              <w:spacing w:line="360" w:lineRule="auto"/>
              <w:jc w:val="center"/>
              <w:rPr>
                <w:rFonts w:asciiTheme="minorEastAsia" w:hAnsiTheme="minorEastAsia"/>
                <w:color w:val="auto"/>
                <w:sz w:val="20"/>
                <w:szCs w:val="20"/>
              </w:rPr>
            </w:pPr>
          </w:p>
        </w:tc>
      </w:tr>
      <w:tr w14:paraId="1EFA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tcBorders/>
            <w:vAlign w:val="center"/>
          </w:tcPr>
          <w:p w14:paraId="15446D79">
            <w:pPr>
              <w:spacing w:line="360" w:lineRule="auto"/>
              <w:jc w:val="both"/>
              <w:rPr>
                <w:rFonts w:hint="eastAsia" w:asciiTheme="minorEastAsia" w:hAnsiTheme="minorEastAsia" w:eastAsiaTheme="minorEastAsia" w:cstheme="minorEastAsia"/>
                <w:color w:val="auto"/>
                <w:sz w:val="20"/>
                <w:szCs w:val="20"/>
              </w:rPr>
            </w:pPr>
          </w:p>
        </w:tc>
        <w:tc>
          <w:tcPr>
            <w:tcW w:w="1014" w:type="pct"/>
            <w:vMerge w:val="continue"/>
            <w:tcBorders/>
            <w:vAlign w:val="center"/>
          </w:tcPr>
          <w:p w14:paraId="777AF11D">
            <w:pPr>
              <w:spacing w:line="360" w:lineRule="auto"/>
              <w:jc w:val="center"/>
              <w:rPr>
                <w:rFonts w:asciiTheme="minorEastAsia" w:hAnsiTheme="minorEastAsia"/>
                <w:color w:val="auto"/>
                <w:sz w:val="20"/>
                <w:szCs w:val="20"/>
              </w:rPr>
            </w:pPr>
          </w:p>
        </w:tc>
        <w:tc>
          <w:tcPr>
            <w:tcW w:w="1063" w:type="pct"/>
            <w:vAlign w:val="center"/>
          </w:tcPr>
          <w:p w14:paraId="53BB8A15">
            <w:pPr>
              <w:spacing w:line="360" w:lineRule="auto"/>
              <w:jc w:val="center"/>
              <w:rPr>
                <w:rFonts w:hint="eastAsia"/>
              </w:rPr>
            </w:pPr>
            <w:r>
              <w:rPr>
                <w:rFonts w:hint="eastAsia"/>
              </w:rPr>
              <w:t>KNF</w:t>
            </w:r>
          </w:p>
        </w:tc>
        <w:tc>
          <w:tcPr>
            <w:tcW w:w="2001" w:type="pct"/>
            <w:vAlign w:val="center"/>
          </w:tcPr>
          <w:p w14:paraId="1F2461EF">
            <w:pPr>
              <w:spacing w:line="360" w:lineRule="auto"/>
              <w:jc w:val="center"/>
              <w:rPr>
                <w:rFonts w:hint="eastAsia"/>
              </w:rPr>
            </w:pPr>
            <w:r>
              <w:rPr>
                <w:rFonts w:hint="eastAsia"/>
              </w:rPr>
              <w:t>可耐福新加坡有限公司(KNAUF SINGAPORE PTE LTD)</w:t>
            </w:r>
          </w:p>
        </w:tc>
        <w:tc>
          <w:tcPr>
            <w:tcW w:w="542" w:type="pct"/>
            <w:vAlign w:val="center"/>
          </w:tcPr>
          <w:p w14:paraId="6229AAD1">
            <w:pPr>
              <w:spacing w:line="360" w:lineRule="auto"/>
              <w:jc w:val="center"/>
              <w:rPr>
                <w:rFonts w:asciiTheme="minorEastAsia" w:hAnsiTheme="minorEastAsia"/>
                <w:color w:val="auto"/>
                <w:sz w:val="20"/>
                <w:szCs w:val="20"/>
              </w:rPr>
            </w:pPr>
          </w:p>
        </w:tc>
      </w:tr>
    </w:tbl>
    <w:p w14:paraId="68E83EF9">
      <w:pPr>
        <w:keepNext w:val="0"/>
        <w:keepLines w:val="0"/>
        <w:pageBreakBefore w:val="0"/>
        <w:widowControl w:val="0"/>
        <w:kinsoku/>
        <w:wordWrap/>
        <w:overflowPunct/>
        <w:topLinePunct w:val="0"/>
        <w:autoSpaceDE/>
        <w:autoSpaceDN/>
        <w:bidi w:val="0"/>
        <w:adjustRightInd/>
        <w:snapToGrid/>
        <w:jc w:val="left"/>
        <w:textAlignment w:val="auto"/>
        <w:rPr>
          <w:color w:val="auto"/>
        </w:rPr>
      </w:pPr>
    </w:p>
    <w:p w14:paraId="44F2987A">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2、主要材料技术标准和质量要求如下：</w:t>
      </w:r>
    </w:p>
    <w:p w14:paraId="349D5429">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1B229A26">
      <w:pPr>
        <w:numPr>
          <w:ilvl w:val="0"/>
          <w:numId w:val="2"/>
        </w:numPr>
        <w:spacing w:line="360" w:lineRule="auto"/>
        <w:ind w:firstLine="442" w:firstLineChars="200"/>
        <w:rPr>
          <w:rFonts w:hint="eastAsia" w:asciiTheme="minorEastAsia" w:hAnsiTheme="minorEastAsia"/>
          <w:b/>
          <w:color w:val="auto"/>
          <w:sz w:val="22"/>
        </w:rPr>
      </w:pPr>
      <w:r>
        <w:rPr>
          <w:rFonts w:hint="eastAsia" w:asciiTheme="minorEastAsia" w:hAnsiTheme="minorEastAsia"/>
          <w:b/>
          <w:color w:val="auto"/>
          <w:sz w:val="22"/>
        </w:rPr>
        <w:t>招标人自行采购的主要材料设备</w:t>
      </w:r>
    </w:p>
    <w:p w14:paraId="097CA447">
      <w:pPr>
        <w:spacing w:line="360" w:lineRule="auto"/>
        <w:ind w:firstLine="440" w:firstLineChars="200"/>
        <w:rPr>
          <w:rFonts w:hint="eastAsia" w:asciiTheme="minorEastAsia" w:hAnsiTheme="minorEastAsia"/>
          <w:b/>
          <w:sz w:val="22"/>
          <w:lang w:val="en-US" w:eastAsia="zh-CN"/>
        </w:rPr>
      </w:pPr>
      <w:r>
        <w:rPr>
          <w:rFonts w:hint="eastAsia" w:asciiTheme="minorEastAsia" w:hAnsiTheme="minorEastAsia"/>
          <w:b w:val="0"/>
          <w:bCs/>
          <w:color w:val="auto"/>
          <w:sz w:val="22"/>
          <w:lang w:val="en-US" w:eastAsia="zh-CN"/>
        </w:rPr>
        <w:t xml:space="preserve"> 详见招标清单</w:t>
      </w:r>
    </w:p>
    <w:p w14:paraId="50074B73">
      <w:pPr>
        <w:spacing w:line="360" w:lineRule="auto"/>
        <w:ind w:firstLine="442" w:firstLineChars="200"/>
        <w:rPr>
          <w:rFonts w:asciiTheme="minorEastAsia" w:hAnsiTheme="minorEastAsia"/>
          <w:b/>
          <w:sz w:val="22"/>
        </w:rPr>
      </w:pPr>
      <w:r>
        <w:rPr>
          <w:rFonts w:hint="eastAsia" w:asciiTheme="minorEastAsia" w:hAnsiTheme="minorEastAsia"/>
          <w:b/>
          <w:sz w:val="22"/>
          <w:lang w:val="en-US" w:eastAsia="zh-CN"/>
        </w:rPr>
        <w:t>七</w:t>
      </w:r>
      <w:r>
        <w:rPr>
          <w:rFonts w:hint="eastAsia" w:asciiTheme="minorEastAsia" w:hAnsiTheme="minorEastAsia"/>
          <w:b/>
          <w:sz w:val="22"/>
        </w:rPr>
        <w:t>、其他说明</w:t>
      </w:r>
    </w:p>
    <w:p w14:paraId="10AC0B75">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0C7D9F99">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46F90EB8">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14:paraId="056F2564">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14:paraId="4D89E4BB">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14:paraId="3171F13C">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14:paraId="02B6BA72">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14:paraId="7CF6DC6E">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14:paraId="784B6B9D">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14:paraId="17793499">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237D76FB">
      <w:pPr>
        <w:spacing w:line="360" w:lineRule="auto"/>
        <w:ind w:firstLine="440" w:firstLineChars="200"/>
        <w:rPr>
          <w:rFonts w:hint="eastAsia" w:asciiTheme="minorEastAsia" w:hAnsiTheme="minorEastAsia" w:eastAsiaTheme="minorEastAsia"/>
          <w:b/>
          <w:bCs/>
          <w:sz w:val="22"/>
          <w:lang w:eastAsia="zh-CN"/>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47993"/>
    <w:multiLevelType w:val="singleLevel"/>
    <w:tmpl w:val="82D47993"/>
    <w:lvl w:ilvl="0" w:tentative="0">
      <w:start w:val="1"/>
      <w:numFmt w:val="decimal"/>
      <w:suff w:val="nothing"/>
      <w:lvlText w:val="%1、"/>
      <w:lvlJc w:val="left"/>
    </w:lvl>
  </w:abstractNum>
  <w:abstractNum w:abstractNumId="1">
    <w:nsid w:val="F0D336BE"/>
    <w:multiLevelType w:val="singleLevel"/>
    <w:tmpl w:val="F0D336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jYzZlZTg4MzU4ODkyMzVkNjJiNTU2YjY4MmNlOTY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1BBF2D24"/>
    <w:rsid w:val="29754E28"/>
    <w:rsid w:val="303D78E2"/>
    <w:rsid w:val="326D1651"/>
    <w:rsid w:val="617B6467"/>
    <w:rsid w:val="79B72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semiHidden/>
    <w:unhideWhenUsed/>
    <w:qFormat/>
    <w:uiPriority w:val="99"/>
    <w:rPr>
      <w:color w:val="0000FF"/>
      <w:u w:val="single"/>
    </w:r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2021</Words>
  <Characters>2081</Characters>
  <Lines>19</Lines>
  <Paragraphs>5</Paragraphs>
  <TotalTime>3</TotalTime>
  <ScaleCrop>false</ScaleCrop>
  <LinksUpToDate>false</LinksUpToDate>
  <CharactersWithSpaces>2083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WPS_1715154760</cp:lastModifiedBy>
  <dcterms:modified xsi:type="dcterms:W3CDTF">2025-01-03T08:59:57Z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011966C106794F5F8DECD56742A97AEB_12</vt:lpwstr>
  </property>
  <property fmtid="{D5CDD505-2E9C-101B-9397-08002B2CF9AE}" pid="4" name="KSOTemplateDocerSaveRecord">
    <vt:lpwstr>eyJoZGlkIjoiM2RjYzZlZTg4MzU4ODkyMzVkNjJiNTU2YjY4MmNlOTYiLCJ1c2VySWQiOiIxNTk4MTY5MDY2In0=</vt:lpwstr>
  </property>
</Properties>
</file>