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auto"/>
          <w:sz w:val="32"/>
          <w:szCs w:val="32"/>
        </w:rPr>
      </w:pPr>
      <w:r>
        <w:rPr>
          <w:rFonts w:hint="eastAsia"/>
          <w:b/>
          <w:color w:val="auto"/>
          <w:sz w:val="32"/>
          <w:szCs w:val="32"/>
        </w:rPr>
        <w:t>招标工程量清单编制说明</w:t>
      </w:r>
    </w:p>
    <w:p>
      <w:pPr>
        <w:spacing w:line="360" w:lineRule="auto"/>
        <w:ind w:firstLine="442" w:firstLineChars="200"/>
        <w:rPr>
          <w:rFonts w:asciiTheme="minorEastAsia" w:hAnsiTheme="minorEastAsia"/>
          <w:b/>
          <w:color w:val="auto"/>
          <w:sz w:val="22"/>
        </w:rPr>
      </w:pPr>
      <w:r>
        <w:rPr>
          <w:rFonts w:hint="eastAsia" w:asciiTheme="minorEastAsia" w:hAnsiTheme="minorEastAsia"/>
          <w:b/>
          <w:color w:val="auto"/>
          <w:sz w:val="22"/>
        </w:rPr>
        <w:t>一、工程概况</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南大游泳馆一楼办公室改造工程，</w:t>
      </w:r>
      <w:r>
        <w:rPr>
          <w:rFonts w:hint="eastAsia" w:asciiTheme="minorEastAsia" w:hAnsiTheme="minorEastAsia"/>
          <w:color w:val="auto"/>
          <w:sz w:val="22"/>
          <w:lang w:val="en-US" w:eastAsia="zh-CN"/>
        </w:rPr>
        <w:t>改造</w:t>
      </w:r>
      <w:r>
        <w:rPr>
          <w:rFonts w:hint="eastAsia" w:asciiTheme="minorEastAsia" w:hAnsiTheme="minorEastAsia"/>
          <w:color w:val="auto"/>
          <w:sz w:val="22"/>
        </w:rPr>
        <w:t>面积</w:t>
      </w:r>
      <w:r>
        <w:rPr>
          <w:rFonts w:hint="eastAsia" w:asciiTheme="minorEastAsia" w:hAnsiTheme="minorEastAsia"/>
          <w:color w:val="auto"/>
          <w:sz w:val="22"/>
          <w:lang w:val="en-US" w:eastAsia="zh-CN"/>
        </w:rPr>
        <w:t>约</w:t>
      </w:r>
      <w:r>
        <w:rPr>
          <w:rFonts w:hint="eastAsia" w:asciiTheme="minorEastAsia" w:hAnsiTheme="minorEastAsia"/>
          <w:color w:val="auto"/>
          <w:sz w:val="22"/>
        </w:rPr>
        <w:t>3</w:t>
      </w:r>
      <w:r>
        <w:rPr>
          <w:rFonts w:hint="eastAsia" w:asciiTheme="minorEastAsia" w:hAnsiTheme="minorEastAsia"/>
          <w:color w:val="auto"/>
          <w:sz w:val="22"/>
          <w:lang w:val="en-US" w:eastAsia="zh-CN"/>
        </w:rPr>
        <w:t>50</w:t>
      </w:r>
      <w:r>
        <w:rPr>
          <w:rFonts w:hint="eastAsia" w:asciiTheme="minorEastAsia" w:hAnsiTheme="minorEastAsia"/>
          <w:color w:val="auto"/>
          <w:sz w:val="22"/>
        </w:rPr>
        <w:t>平方米</w:t>
      </w:r>
      <w:r>
        <w:rPr>
          <w:rFonts w:hint="eastAsia" w:asciiTheme="minorEastAsia" w:hAnsiTheme="minorEastAsia"/>
          <w:color w:val="auto"/>
          <w:sz w:val="22"/>
          <w:lang w:eastAsia="zh-CN"/>
        </w:rPr>
        <w:t>。</w:t>
      </w:r>
      <w:r>
        <w:rPr>
          <w:rFonts w:hint="eastAsia" w:asciiTheme="minorEastAsia" w:hAnsiTheme="minorEastAsia"/>
          <w:color w:val="auto"/>
          <w:sz w:val="22"/>
        </w:rPr>
        <w:t>拟对</w:t>
      </w:r>
      <w:r>
        <w:rPr>
          <w:rFonts w:hint="eastAsia" w:asciiTheme="minorEastAsia" w:hAnsiTheme="minorEastAsia"/>
          <w:color w:val="auto"/>
          <w:sz w:val="22"/>
          <w:lang w:val="en-US" w:eastAsia="zh-CN"/>
        </w:rPr>
        <w:t>门窗、</w:t>
      </w:r>
      <w:r>
        <w:rPr>
          <w:rFonts w:hint="eastAsia" w:asciiTheme="minorEastAsia" w:hAnsiTheme="minorEastAsia"/>
          <w:color w:val="auto"/>
          <w:sz w:val="22"/>
        </w:rPr>
        <w:t>墙面、地面、吊顶、强弱电、暖通等进行维修与更换。</w:t>
      </w:r>
    </w:p>
    <w:p>
      <w:pPr>
        <w:spacing w:line="360" w:lineRule="auto"/>
        <w:ind w:firstLine="442" w:firstLineChars="200"/>
        <w:rPr>
          <w:rFonts w:asciiTheme="minorEastAsia" w:hAnsiTheme="minorEastAsia"/>
          <w:b/>
          <w:color w:val="auto"/>
          <w:sz w:val="22"/>
        </w:rPr>
      </w:pPr>
      <w:r>
        <w:rPr>
          <w:rFonts w:hint="eastAsia" w:asciiTheme="minorEastAsia" w:hAnsiTheme="minorEastAsia"/>
          <w:b/>
          <w:color w:val="auto"/>
          <w:sz w:val="22"/>
        </w:rPr>
        <w:t>二、工程招标和分包范围</w:t>
      </w:r>
    </w:p>
    <w:p>
      <w:pPr>
        <w:spacing w:line="360" w:lineRule="auto"/>
        <w:ind w:firstLine="440" w:firstLineChars="200"/>
        <w:rPr>
          <w:rFonts w:hint="eastAsia" w:asciiTheme="minorEastAsia" w:hAnsiTheme="minorEastAsia" w:eastAsiaTheme="minorEastAsia"/>
          <w:b/>
          <w:i/>
          <w:color w:val="auto"/>
          <w:sz w:val="22"/>
          <w:u w:val="single"/>
          <w:lang w:eastAsia="zh-CN"/>
        </w:rPr>
      </w:pPr>
      <w:r>
        <w:rPr>
          <w:rFonts w:hint="eastAsia" w:asciiTheme="minorEastAsia" w:hAnsiTheme="minorEastAsia"/>
          <w:color w:val="auto"/>
          <w:sz w:val="22"/>
        </w:rPr>
        <w:t>本次改造内容主要包括</w:t>
      </w:r>
      <w:r>
        <w:rPr>
          <w:rFonts w:hint="eastAsia" w:asciiTheme="minorEastAsia" w:hAnsiTheme="minorEastAsia"/>
          <w:color w:val="auto"/>
          <w:sz w:val="22"/>
          <w:lang w:val="en-US" w:eastAsia="zh-CN"/>
        </w:rPr>
        <w:t>拆除工程、门窗、</w:t>
      </w:r>
      <w:r>
        <w:rPr>
          <w:rFonts w:hint="eastAsia" w:asciiTheme="minorEastAsia" w:hAnsiTheme="minorEastAsia"/>
          <w:color w:val="auto"/>
          <w:sz w:val="22"/>
        </w:rPr>
        <w:t>墙面、地面、吊顶、强弱电、暖通等</w:t>
      </w:r>
      <w:r>
        <w:rPr>
          <w:rFonts w:hint="eastAsia" w:asciiTheme="minorEastAsia" w:hAnsiTheme="minorEastAsia"/>
          <w:color w:val="auto"/>
          <w:sz w:val="22"/>
          <w:lang w:eastAsia="zh-CN"/>
        </w:rPr>
        <w:t>。</w:t>
      </w:r>
    </w:p>
    <w:p>
      <w:pPr>
        <w:spacing w:line="360" w:lineRule="auto"/>
        <w:ind w:firstLine="442" w:firstLineChars="200"/>
        <w:rPr>
          <w:rFonts w:asciiTheme="minorEastAsia" w:hAnsiTheme="minorEastAsia"/>
          <w:color w:val="auto"/>
          <w:sz w:val="22"/>
        </w:rPr>
      </w:pPr>
      <w:r>
        <w:rPr>
          <w:rFonts w:hint="eastAsia" w:asciiTheme="minorEastAsia" w:hAnsiTheme="minorEastAsia"/>
          <w:b/>
          <w:color w:val="auto"/>
          <w:sz w:val="22"/>
        </w:rPr>
        <w:t>三、编制依据</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w:t>
      </w:r>
      <w:r>
        <w:rPr>
          <w:rFonts w:hint="eastAsia" w:asciiTheme="minorEastAsia" w:hAnsiTheme="minorEastAsia"/>
          <w:color w:val="auto"/>
          <w:sz w:val="22"/>
          <w:lang w:val="en-US" w:eastAsia="zh-CN"/>
        </w:rPr>
        <w:t>图纸</w:t>
      </w:r>
      <w:r>
        <w:rPr>
          <w:rFonts w:hint="eastAsia" w:asciiTheme="minorEastAsia" w:hAnsiTheme="minorEastAsia"/>
          <w:color w:val="auto"/>
          <w:sz w:val="22"/>
        </w:rPr>
        <w:t>等技术资料。</w:t>
      </w:r>
    </w:p>
    <w:p>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lang w:val="en-US" w:eastAsia="zh-CN"/>
        </w:rPr>
        <w:t>2</w:t>
      </w:r>
      <w:r>
        <w:rPr>
          <w:rFonts w:hint="eastAsia" w:asciiTheme="minorEastAsia" w:hAnsiTheme="minorEastAsia"/>
          <w:color w:val="auto"/>
          <w:sz w:val="22"/>
        </w:rPr>
        <w:t>、计量规范：</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①《建设工程工程量清单计价规范》（GB50500-2013）</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②《房屋建筑与装饰工程工程量计算规范》（GB50854-2013）</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③《通用安装工程工程量计算规范》（GB50856-2013）</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④现行相关补充或调整文件</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lang w:val="en-US" w:eastAsia="zh-CN"/>
        </w:rPr>
        <w:t>3</w:t>
      </w:r>
      <w:r>
        <w:rPr>
          <w:rFonts w:hint="eastAsia" w:asciiTheme="minorEastAsia" w:hAnsiTheme="minorEastAsia"/>
          <w:color w:val="auto"/>
          <w:sz w:val="22"/>
        </w:rPr>
        <w:t>、与本工程项目有关的标准、施工规范与验收规范。</w:t>
      </w:r>
    </w:p>
    <w:p>
      <w:pPr>
        <w:spacing w:line="360" w:lineRule="auto"/>
        <w:ind w:firstLine="442" w:firstLineChars="200"/>
        <w:rPr>
          <w:rFonts w:asciiTheme="minorEastAsia" w:hAnsiTheme="minorEastAsia"/>
          <w:color w:val="auto"/>
          <w:sz w:val="22"/>
        </w:rPr>
      </w:pPr>
      <w:r>
        <w:rPr>
          <w:rFonts w:hint="eastAsia" w:asciiTheme="minorEastAsia" w:hAnsiTheme="minorEastAsia"/>
          <w:b/>
          <w:color w:val="auto"/>
          <w:sz w:val="22"/>
        </w:rPr>
        <w:t>四、取费标准</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1、《省住房城乡建设厅关于建筑业实施营改增后江苏省建设工程计价依据调整的通知》 苏建价（2016）154号文及相关附件。</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2、《省住房城乡建设厅关于建筑业增值税计价政策调整的通知》苏建函价（2019）178号文。</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3、安全文明施工措施费计取基本费和扬尘污染防治增加费。</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4、《省住房城乡建设厅关于建筑工人实名制费用计取方法的公告》〔2019〕第19号</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5、依据《建设工程计价设备材料划分标准》（GB/T50531-2009）划分的设备以设备形式计入且不计取总价措施费及规费。</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6、政策性文件及报价参考执行投标截止日前省市建委造价有关文件，投标截止日后的省市建委造价文件不予执行。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7、人工工资参考江苏省建设工程人工工资指导价自主报价，其它费用按照省市建委发布的有关文件及政策规定等执行，报价参考执行投标截止日前省建设厅、市建委造价有关文件。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8、暂列金额及暂估价：</w:t>
      </w:r>
    </w:p>
    <w:p>
      <w:pPr>
        <w:spacing w:line="360" w:lineRule="auto"/>
        <w:ind w:firstLine="440" w:firstLineChars="200"/>
        <w:rPr>
          <w:rFonts w:hint="eastAsia" w:asciiTheme="minorEastAsia" w:hAnsiTheme="minorEastAsia"/>
          <w:b/>
          <w:i/>
          <w:color w:val="auto"/>
          <w:sz w:val="22"/>
          <w:u w:val="single"/>
        </w:rPr>
      </w:pPr>
      <w:r>
        <w:rPr>
          <w:rFonts w:hint="eastAsia" w:asciiTheme="minorEastAsia" w:hAnsiTheme="minorEastAsia"/>
          <w:color w:val="auto"/>
          <w:sz w:val="22"/>
        </w:rPr>
        <w:t>（1）暂列金额：</w:t>
      </w:r>
      <w:r>
        <w:rPr>
          <w:rFonts w:hint="eastAsia" w:asciiTheme="minorEastAsia" w:hAnsiTheme="minorEastAsia"/>
          <w:color w:val="auto"/>
          <w:sz w:val="22"/>
        </w:rPr>
        <w:t>无。</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（2）暂估价：</w:t>
      </w:r>
      <w:r>
        <w:rPr>
          <w:rFonts w:hint="eastAsia" w:asciiTheme="minorEastAsia" w:hAnsiTheme="minorEastAsia"/>
          <w:color w:val="auto"/>
          <w:sz w:val="22"/>
        </w:rPr>
        <w:t>无。</w:t>
      </w:r>
    </w:p>
    <w:p>
      <w:pPr>
        <w:spacing w:line="360" w:lineRule="auto"/>
        <w:ind w:firstLine="442" w:firstLineChars="200"/>
        <w:rPr>
          <w:rFonts w:asciiTheme="minorEastAsia" w:hAnsiTheme="minorEastAsia"/>
          <w:color w:val="auto"/>
          <w:sz w:val="22"/>
        </w:rPr>
      </w:pPr>
      <w:r>
        <w:rPr>
          <w:rFonts w:hint="eastAsia" w:asciiTheme="minorEastAsia" w:hAnsiTheme="minorEastAsia"/>
          <w:b/>
          <w:color w:val="auto"/>
          <w:sz w:val="22"/>
        </w:rPr>
        <w:t>五、图纸及工程量计算中的相关说明</w:t>
      </w:r>
    </w:p>
    <w:p>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1、本项目为改造工程，投标人投标时须自行踏勘现场，结合本项目施工图纸及工作内容，根据现场实际情况，有序开展拆除工作，相关拆除费用、垃圾外运费用以及垃圾弃置费用包含在本次报价中。</w:t>
      </w:r>
    </w:p>
    <w:p>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lang w:val="en-US" w:eastAsia="zh-CN"/>
        </w:rPr>
        <w:t>2</w:t>
      </w:r>
      <w:r>
        <w:rPr>
          <w:rFonts w:hint="eastAsia" w:asciiTheme="minorEastAsia" w:hAnsiTheme="minorEastAsia"/>
          <w:color w:val="auto"/>
          <w:sz w:val="22"/>
        </w:rPr>
        <w:t>、拆除施工应按规定要求进行，严禁野蛮施工。由于拆除不当，引起的其他一切费用增加应由责任方承担。（如：损坏修复、交叉影响、引起增加的工程量）。</w:t>
      </w:r>
    </w:p>
    <w:p>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lang w:val="en-US" w:eastAsia="zh-CN"/>
        </w:rPr>
        <w:t>3</w:t>
      </w:r>
      <w:r>
        <w:rPr>
          <w:rFonts w:hint="eastAsia" w:asciiTheme="minorEastAsia" w:hAnsiTheme="minorEastAsia"/>
          <w:color w:val="auto"/>
          <w:sz w:val="22"/>
        </w:rPr>
        <w:t>、施工工序、要求、规范等详见施工说明。需完全满足施工、设计说明要求。</w:t>
      </w:r>
    </w:p>
    <w:p>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lang w:val="en-US" w:eastAsia="zh-CN"/>
        </w:rPr>
        <w:t>4、</w:t>
      </w:r>
      <w:r>
        <w:rPr>
          <w:rFonts w:hint="eastAsia" w:asciiTheme="minorEastAsia" w:hAnsiTheme="minorEastAsia"/>
          <w:color w:val="auto"/>
          <w:sz w:val="22"/>
        </w:rPr>
        <w:t>投标人根据规范要求以及现场情况自行增加本清单中未列的措施项目费用，投标人的报价中未列而又实际发生的措施项目费用视为让利，结算不予增加以及调整。</w:t>
      </w:r>
    </w:p>
    <w:p>
      <w:pPr>
        <w:spacing w:line="360" w:lineRule="auto"/>
        <w:ind w:firstLine="442" w:firstLineChars="200"/>
        <w:rPr>
          <w:rFonts w:asciiTheme="minorEastAsia" w:hAnsiTheme="minorEastAsia"/>
          <w:b/>
          <w:color w:val="auto"/>
          <w:sz w:val="22"/>
        </w:rPr>
      </w:pPr>
      <w:r>
        <w:rPr>
          <w:rFonts w:hint="eastAsia" w:asciiTheme="minorEastAsia" w:hAnsiTheme="minorEastAsia"/>
          <w:b/>
          <w:color w:val="auto"/>
          <w:sz w:val="22"/>
        </w:rPr>
        <w:t>六、主要材料设备</w:t>
      </w:r>
    </w:p>
    <w:p>
      <w:pPr>
        <w:spacing w:line="360" w:lineRule="auto"/>
        <w:ind w:firstLine="442" w:firstLineChars="200"/>
        <w:rPr>
          <w:rFonts w:asciiTheme="minorEastAsia" w:hAnsiTheme="minorEastAsia"/>
          <w:b/>
          <w:color w:val="auto"/>
          <w:sz w:val="22"/>
        </w:rPr>
      </w:pPr>
      <w:r>
        <w:rPr>
          <w:rFonts w:hint="eastAsia" w:asciiTheme="minorEastAsia" w:hAnsiTheme="minorEastAsia"/>
          <w:b/>
          <w:color w:val="auto"/>
          <w:sz w:val="22"/>
        </w:rPr>
        <w:t>（一）投标人负责采购的主要材料设备</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bookmarkStart w:id="0" w:name="_GoBack"/>
      <w:bookmarkEnd w:id="0"/>
    </w:p>
    <w:p>
      <w:pPr>
        <w:numPr>
          <w:ilvl w:val="0"/>
          <w:numId w:val="1"/>
        </w:num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本项目主要材料品牌推荐表如下：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680"/>
        <w:gridCol w:w="1835"/>
        <w:gridCol w:w="3740"/>
        <w:gridCol w:w="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spacing w:line="360" w:lineRule="auto"/>
              <w:jc w:val="center"/>
              <w:rPr>
                <w:rFonts w:asciiTheme="minorEastAsia" w:hAnsiTheme="minorEastAsia"/>
                <w:color w:val="auto"/>
                <w:sz w:val="22"/>
              </w:rPr>
            </w:pPr>
            <w:r>
              <w:rPr>
                <w:rFonts w:hint="eastAsia" w:asciiTheme="minorEastAsia" w:hAnsiTheme="minorEastAsia"/>
                <w:color w:val="auto"/>
                <w:sz w:val="22"/>
              </w:rPr>
              <w:t>序号</w:t>
            </w:r>
          </w:p>
        </w:tc>
        <w:tc>
          <w:tcPr>
            <w:tcW w:w="1680" w:type="dxa"/>
          </w:tcPr>
          <w:p>
            <w:pPr>
              <w:spacing w:line="360" w:lineRule="auto"/>
              <w:jc w:val="center"/>
              <w:rPr>
                <w:rFonts w:asciiTheme="minorEastAsia" w:hAnsiTheme="minorEastAsia"/>
                <w:color w:val="auto"/>
                <w:sz w:val="22"/>
              </w:rPr>
            </w:pPr>
            <w:r>
              <w:rPr>
                <w:rFonts w:hint="eastAsia" w:asciiTheme="minorEastAsia" w:hAnsiTheme="minorEastAsia"/>
                <w:color w:val="auto"/>
                <w:sz w:val="22"/>
              </w:rPr>
              <w:t>材料设备名称</w:t>
            </w:r>
          </w:p>
        </w:tc>
        <w:tc>
          <w:tcPr>
            <w:tcW w:w="1835" w:type="dxa"/>
          </w:tcPr>
          <w:p>
            <w:pPr>
              <w:spacing w:line="360" w:lineRule="auto"/>
              <w:jc w:val="center"/>
              <w:rPr>
                <w:rFonts w:asciiTheme="minorEastAsia" w:hAnsiTheme="minorEastAsia"/>
                <w:color w:val="auto"/>
                <w:sz w:val="22"/>
              </w:rPr>
            </w:pPr>
            <w:r>
              <w:rPr>
                <w:rFonts w:hint="eastAsia" w:asciiTheme="minorEastAsia" w:hAnsiTheme="minorEastAsia"/>
                <w:color w:val="auto"/>
                <w:sz w:val="22"/>
              </w:rPr>
              <w:t>推荐品牌（系列）</w:t>
            </w:r>
          </w:p>
        </w:tc>
        <w:tc>
          <w:tcPr>
            <w:tcW w:w="3740" w:type="dxa"/>
          </w:tcPr>
          <w:p>
            <w:pPr>
              <w:spacing w:line="360" w:lineRule="auto"/>
              <w:jc w:val="center"/>
              <w:rPr>
                <w:rFonts w:asciiTheme="minorEastAsia" w:hAnsiTheme="minorEastAsia"/>
                <w:color w:val="auto"/>
                <w:sz w:val="22"/>
              </w:rPr>
            </w:pPr>
            <w:r>
              <w:rPr>
                <w:rFonts w:hint="eastAsia" w:asciiTheme="minorEastAsia" w:hAnsiTheme="minorEastAsia"/>
                <w:color w:val="auto"/>
                <w:sz w:val="22"/>
              </w:rPr>
              <w:t>制造商名称</w:t>
            </w:r>
          </w:p>
        </w:tc>
        <w:tc>
          <w:tcPr>
            <w:tcW w:w="662" w:type="dxa"/>
          </w:tcPr>
          <w:p>
            <w:pPr>
              <w:spacing w:line="360" w:lineRule="auto"/>
              <w:jc w:val="center"/>
              <w:rPr>
                <w:rFonts w:asciiTheme="minorEastAsia" w:hAnsiTheme="minorEastAsia"/>
                <w:color w:val="auto"/>
                <w:sz w:val="22"/>
              </w:rPr>
            </w:pPr>
            <w:r>
              <w:rPr>
                <w:rFonts w:hint="eastAsia" w:asciiTheme="minorEastAsia" w:hAnsiTheme="minorEastAsia"/>
                <w:color w:val="auto"/>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675" w:type="dxa"/>
            <w:vMerge w:val="restart"/>
          </w:tcPr>
          <w:p>
            <w:pPr>
              <w:spacing w:line="360" w:lineRule="auto"/>
              <w:rPr>
                <w:rFonts w:hint="default" w:asciiTheme="minorEastAsia" w:hAnsiTheme="minorEastAsia" w:eastAsiaTheme="minorEastAsia"/>
                <w:color w:val="auto"/>
                <w:sz w:val="22"/>
                <w:lang w:val="en-US" w:eastAsia="zh-CN"/>
              </w:rPr>
            </w:pPr>
            <w:r>
              <w:rPr>
                <w:rFonts w:hint="eastAsia" w:asciiTheme="minorEastAsia" w:hAnsiTheme="minorEastAsia"/>
                <w:color w:val="auto"/>
                <w:sz w:val="22"/>
                <w:lang w:val="en-US" w:eastAsia="zh-CN"/>
              </w:rPr>
              <w:t>1</w:t>
            </w:r>
          </w:p>
        </w:tc>
        <w:tc>
          <w:tcPr>
            <w:tcW w:w="1680" w:type="dxa"/>
            <w:vMerge w:val="restart"/>
          </w:tcPr>
          <w:p>
            <w:pPr>
              <w:spacing w:line="360" w:lineRule="auto"/>
              <w:jc w:val="both"/>
              <w:rPr>
                <w:rFonts w:asciiTheme="minorEastAsia" w:hAnsiTheme="minorEastAsia"/>
                <w:color w:val="auto"/>
                <w:sz w:val="22"/>
              </w:rPr>
            </w:pPr>
            <w:r>
              <w:rPr>
                <w:rFonts w:hint="default" w:asciiTheme="minorEastAsia" w:hAnsiTheme="minorEastAsia" w:eastAsiaTheme="minorEastAsia"/>
                <w:color w:val="auto"/>
                <w:sz w:val="22"/>
                <w:lang w:val="en-US" w:eastAsia="zh-CN"/>
              </w:rPr>
              <w:t>成品木门</w:t>
            </w:r>
          </w:p>
        </w:tc>
        <w:tc>
          <w:tcPr>
            <w:tcW w:w="1835" w:type="dxa"/>
          </w:tcPr>
          <w:p>
            <w:pPr>
              <w:spacing w:line="360" w:lineRule="auto"/>
              <w:rPr>
                <w:rFonts w:hint="default" w:asciiTheme="minorEastAsia" w:hAnsiTheme="minorEastAsia" w:eastAsiaTheme="minorEastAsia"/>
                <w:color w:val="auto"/>
                <w:sz w:val="22"/>
                <w:lang w:val="en-US" w:eastAsia="zh-CN"/>
              </w:rPr>
            </w:pPr>
            <w:r>
              <w:rPr>
                <w:rFonts w:hint="default" w:asciiTheme="minorEastAsia" w:hAnsiTheme="minorEastAsia" w:eastAsiaTheme="minorEastAsia"/>
                <w:color w:val="auto"/>
                <w:sz w:val="22"/>
                <w:lang w:val="en-US" w:eastAsia="zh-CN"/>
              </w:rPr>
              <w:t>美心</w:t>
            </w:r>
          </w:p>
        </w:tc>
        <w:tc>
          <w:tcPr>
            <w:tcW w:w="3740" w:type="dxa"/>
          </w:tcPr>
          <w:p>
            <w:pPr>
              <w:spacing w:line="360" w:lineRule="auto"/>
              <w:rPr>
                <w:rFonts w:asciiTheme="minorEastAsia" w:hAnsiTheme="minorEastAsia"/>
                <w:color w:val="auto"/>
                <w:sz w:val="22"/>
              </w:rPr>
            </w:pPr>
            <w:r>
              <w:rPr>
                <w:rFonts w:hint="default" w:asciiTheme="minorEastAsia" w:hAnsiTheme="minorEastAsia" w:eastAsiaTheme="minorEastAsia"/>
                <w:color w:val="auto"/>
                <w:sz w:val="22"/>
                <w:lang w:val="en-US" w:eastAsia="zh-CN"/>
              </w:rPr>
              <w:t>重庆美心（集团）有限公司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pPr>
              <w:spacing w:line="360" w:lineRule="auto"/>
              <w:rPr>
                <w:rFonts w:hint="eastAsia" w:asciiTheme="minorEastAsia" w:hAnsiTheme="minorEastAsia" w:eastAsiaTheme="minorEastAsia"/>
                <w:color w:val="auto"/>
                <w:sz w:val="22"/>
                <w:lang w:val="en-US" w:eastAsia="zh-CN"/>
              </w:rPr>
            </w:pPr>
          </w:p>
        </w:tc>
        <w:tc>
          <w:tcPr>
            <w:tcW w:w="1680" w:type="dxa"/>
            <w:vMerge w:val="continue"/>
          </w:tcPr>
          <w:p>
            <w:pPr>
              <w:spacing w:line="360" w:lineRule="auto"/>
              <w:rPr>
                <w:rFonts w:hint="default" w:asciiTheme="minorEastAsia" w:hAnsiTheme="minorEastAsia"/>
                <w:color w:val="auto"/>
                <w:sz w:val="22"/>
                <w:lang w:val="en-US" w:eastAsia="zh-CN"/>
              </w:rPr>
            </w:pPr>
          </w:p>
        </w:tc>
        <w:tc>
          <w:tcPr>
            <w:tcW w:w="1835" w:type="dxa"/>
          </w:tcPr>
          <w:p>
            <w:pPr>
              <w:spacing w:line="360" w:lineRule="auto"/>
              <w:rPr>
                <w:rFonts w:asciiTheme="minorEastAsia" w:hAnsiTheme="minorEastAsia"/>
                <w:color w:val="auto"/>
                <w:sz w:val="22"/>
              </w:rPr>
            </w:pPr>
            <w:r>
              <w:rPr>
                <w:rFonts w:hint="default" w:asciiTheme="minorEastAsia" w:hAnsiTheme="minorEastAsia" w:eastAsiaTheme="minorEastAsia"/>
                <w:color w:val="auto"/>
                <w:sz w:val="22"/>
                <w:lang w:val="en-US" w:eastAsia="zh-CN"/>
              </w:rPr>
              <w:t>盼盼</w:t>
            </w:r>
          </w:p>
        </w:tc>
        <w:tc>
          <w:tcPr>
            <w:tcW w:w="3740" w:type="dxa"/>
          </w:tcPr>
          <w:p>
            <w:pPr>
              <w:spacing w:line="360" w:lineRule="auto"/>
              <w:rPr>
                <w:rFonts w:asciiTheme="minorEastAsia" w:hAnsiTheme="minorEastAsia"/>
                <w:color w:val="auto"/>
                <w:sz w:val="22"/>
              </w:rPr>
            </w:pPr>
            <w:r>
              <w:rPr>
                <w:rFonts w:hint="default" w:asciiTheme="minorEastAsia" w:hAnsiTheme="minorEastAsia" w:eastAsiaTheme="minorEastAsia"/>
                <w:color w:val="auto"/>
                <w:sz w:val="22"/>
                <w:lang w:val="en-US" w:eastAsia="zh-CN"/>
              </w:rPr>
              <w:t>盼盼安居门业有限责任公司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rPr>
                <w:rFonts w:asciiTheme="minorEastAsia" w:hAnsiTheme="minorEastAsia"/>
                <w:color w:val="auto"/>
                <w:sz w:val="22"/>
              </w:rPr>
            </w:pPr>
          </w:p>
        </w:tc>
        <w:tc>
          <w:tcPr>
            <w:tcW w:w="1835" w:type="dxa"/>
          </w:tcPr>
          <w:p>
            <w:pPr>
              <w:spacing w:line="360" w:lineRule="auto"/>
              <w:rPr>
                <w:rFonts w:asciiTheme="minorEastAsia" w:hAnsiTheme="minorEastAsia"/>
                <w:color w:val="auto"/>
                <w:sz w:val="22"/>
              </w:rPr>
            </w:pPr>
            <w:r>
              <w:rPr>
                <w:rFonts w:hint="default" w:asciiTheme="minorEastAsia" w:hAnsiTheme="minorEastAsia" w:eastAsiaTheme="minorEastAsia"/>
                <w:color w:val="auto"/>
                <w:sz w:val="22"/>
                <w:lang w:val="en-US" w:eastAsia="zh-CN"/>
              </w:rPr>
              <w:t>TATA</w:t>
            </w:r>
          </w:p>
        </w:tc>
        <w:tc>
          <w:tcPr>
            <w:tcW w:w="3740" w:type="dxa"/>
          </w:tcPr>
          <w:p>
            <w:pPr>
              <w:spacing w:line="360" w:lineRule="auto"/>
              <w:rPr>
                <w:rFonts w:asciiTheme="minorEastAsia" w:hAnsiTheme="minorEastAsia"/>
                <w:color w:val="auto"/>
                <w:sz w:val="22"/>
              </w:rPr>
            </w:pPr>
            <w:r>
              <w:rPr>
                <w:rFonts w:hint="default" w:asciiTheme="minorEastAsia" w:hAnsiTheme="minorEastAsia" w:eastAsiaTheme="minorEastAsia"/>
                <w:color w:val="auto"/>
                <w:sz w:val="22"/>
                <w:lang w:val="en-US" w:eastAsia="zh-CN"/>
              </w:rPr>
              <w:t>北京闼闼同创工贸有限公司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restart"/>
          </w:tcPr>
          <w:p>
            <w:pPr>
              <w:spacing w:line="360" w:lineRule="auto"/>
              <w:rPr>
                <w:rFonts w:hint="default" w:asciiTheme="minorEastAsia" w:hAnsiTheme="minorEastAsia" w:eastAsiaTheme="minorEastAsia"/>
                <w:color w:val="auto"/>
                <w:sz w:val="22"/>
                <w:lang w:val="en-US" w:eastAsia="zh-CN"/>
              </w:rPr>
            </w:pPr>
            <w:r>
              <w:rPr>
                <w:rFonts w:hint="eastAsia" w:asciiTheme="minorEastAsia" w:hAnsiTheme="minorEastAsia"/>
                <w:color w:val="auto"/>
                <w:sz w:val="22"/>
                <w:lang w:val="en-US" w:eastAsia="zh-CN"/>
              </w:rPr>
              <w:t>2</w:t>
            </w:r>
          </w:p>
        </w:tc>
        <w:tc>
          <w:tcPr>
            <w:tcW w:w="1680" w:type="dxa"/>
            <w:vMerge w:val="restart"/>
          </w:tcPr>
          <w:p>
            <w:pPr>
              <w:spacing w:line="360" w:lineRule="auto"/>
              <w:jc w:val="both"/>
              <w:rPr>
                <w:rFonts w:hint="default"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型材</w:t>
            </w:r>
          </w:p>
        </w:tc>
        <w:tc>
          <w:tcPr>
            <w:tcW w:w="1835" w:type="dxa"/>
          </w:tcPr>
          <w:p>
            <w:pPr>
              <w:spacing w:line="360" w:lineRule="auto"/>
              <w:jc w:val="both"/>
              <w:rPr>
                <w:rFonts w:hint="default"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亚洲铝业</w:t>
            </w:r>
          </w:p>
        </w:tc>
        <w:tc>
          <w:tcPr>
            <w:tcW w:w="3740" w:type="dxa"/>
          </w:tcPr>
          <w:p>
            <w:pPr>
              <w:spacing w:line="360" w:lineRule="auto"/>
              <w:jc w:val="both"/>
              <w:rPr>
                <w:rFonts w:hint="default"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肇庆亚洲铝厂有限公司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default"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凤铝</w:t>
            </w:r>
          </w:p>
        </w:tc>
        <w:tc>
          <w:tcPr>
            <w:tcW w:w="3740" w:type="dxa"/>
          </w:tcPr>
          <w:p>
            <w:pPr>
              <w:spacing w:line="360" w:lineRule="auto"/>
              <w:jc w:val="both"/>
              <w:rPr>
                <w:rFonts w:hint="default"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广东凤铝铝业有限公司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default"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栋梁</w:t>
            </w:r>
          </w:p>
        </w:tc>
        <w:tc>
          <w:tcPr>
            <w:tcW w:w="3740" w:type="dxa"/>
          </w:tcPr>
          <w:p>
            <w:pPr>
              <w:spacing w:line="360" w:lineRule="auto"/>
              <w:jc w:val="both"/>
              <w:rPr>
                <w:rFonts w:hint="default"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栋梁铝业有限公司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restart"/>
          </w:tcPr>
          <w:p>
            <w:pPr>
              <w:spacing w:line="360" w:lineRule="auto"/>
              <w:rPr>
                <w:rFonts w:hint="eastAsia" w:asciiTheme="minorEastAsia" w:hAnsiTheme="minorEastAsia" w:eastAsiaTheme="minorEastAsia"/>
                <w:color w:val="auto"/>
                <w:sz w:val="22"/>
                <w:lang w:val="en-US" w:eastAsia="zh-CN"/>
              </w:rPr>
            </w:pPr>
            <w:r>
              <w:rPr>
                <w:rFonts w:hint="eastAsia" w:asciiTheme="minorEastAsia" w:hAnsiTheme="minorEastAsia"/>
                <w:color w:val="auto"/>
                <w:sz w:val="22"/>
                <w:lang w:val="en-US" w:eastAsia="zh-CN"/>
              </w:rPr>
              <w:t>3</w:t>
            </w:r>
          </w:p>
        </w:tc>
        <w:tc>
          <w:tcPr>
            <w:tcW w:w="1680" w:type="dxa"/>
            <w:vMerge w:val="restart"/>
          </w:tcPr>
          <w:p>
            <w:pPr>
              <w:spacing w:line="360" w:lineRule="auto"/>
              <w:jc w:val="both"/>
              <w:rPr>
                <w:rFonts w:hint="default"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玻璃原片</w:t>
            </w: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南玻</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中国南玻集团股份有限公司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耀皮</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上海耀皮玻璃集团股份有限公司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金晶</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山东金晶科技股份有限公司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restart"/>
          </w:tcPr>
          <w:p>
            <w:pPr>
              <w:spacing w:line="360" w:lineRule="auto"/>
              <w:rPr>
                <w:rFonts w:hint="eastAsia" w:asciiTheme="minorEastAsia" w:hAnsiTheme="minorEastAsia" w:eastAsiaTheme="minorEastAsia"/>
                <w:color w:val="auto"/>
                <w:sz w:val="22"/>
                <w:lang w:val="en-US" w:eastAsia="zh-CN"/>
              </w:rPr>
            </w:pPr>
            <w:r>
              <w:rPr>
                <w:rFonts w:hint="eastAsia" w:asciiTheme="minorEastAsia" w:hAnsiTheme="minorEastAsia"/>
                <w:color w:val="auto"/>
                <w:sz w:val="22"/>
                <w:lang w:val="en-US" w:eastAsia="zh-CN"/>
              </w:rPr>
              <w:t>4</w:t>
            </w:r>
          </w:p>
        </w:tc>
        <w:tc>
          <w:tcPr>
            <w:tcW w:w="1680" w:type="dxa"/>
            <w:vMerge w:val="restart"/>
          </w:tcPr>
          <w:p>
            <w:pPr>
              <w:spacing w:line="360" w:lineRule="auto"/>
              <w:jc w:val="both"/>
              <w:rPr>
                <w:rFonts w:hint="default"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木工板、木饰面板</w:t>
            </w: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莫干山</w:t>
            </w:r>
            <w:r>
              <w:rPr>
                <w:rFonts w:hint="eastAsia" w:asciiTheme="minorEastAsia" w:hAnsiTheme="minorEastAsia" w:eastAsiaTheme="minorEastAsia"/>
                <w:color w:val="auto"/>
                <w:sz w:val="22"/>
                <w:lang w:val="en-US" w:eastAsia="zh-CN"/>
              </w:rPr>
              <w:tab/>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浙江升华云峰新材股份有限公司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兔宝宝</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德华兔宝宝装饰新材股份有限公司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大王椰</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杭州大王椰控股集团有限公司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千年舟</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千年舟新材科技集团股份有限公司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restart"/>
          </w:tcPr>
          <w:p>
            <w:pPr>
              <w:spacing w:line="360" w:lineRule="auto"/>
              <w:rPr>
                <w:rFonts w:hint="eastAsia" w:asciiTheme="minorEastAsia" w:hAnsiTheme="minorEastAsia" w:eastAsiaTheme="minorEastAsia"/>
                <w:color w:val="auto"/>
                <w:sz w:val="22"/>
                <w:lang w:val="en-US" w:eastAsia="zh-CN"/>
              </w:rPr>
            </w:pPr>
            <w:r>
              <w:rPr>
                <w:rFonts w:hint="eastAsia" w:asciiTheme="minorEastAsia" w:hAnsiTheme="minorEastAsia"/>
                <w:color w:val="auto"/>
                <w:sz w:val="22"/>
                <w:lang w:val="en-US" w:eastAsia="zh-CN"/>
              </w:rPr>
              <w:t>5</w:t>
            </w:r>
          </w:p>
        </w:tc>
        <w:tc>
          <w:tcPr>
            <w:tcW w:w="1680" w:type="dxa"/>
            <w:vMerge w:val="restart"/>
          </w:tcPr>
          <w:p>
            <w:pPr>
              <w:spacing w:line="360" w:lineRule="auto"/>
              <w:jc w:val="both"/>
              <w:rPr>
                <w:rFonts w:hint="default"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石膏板</w:t>
            </w: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龙牌</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北新集团建材股份有限公司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杰科</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圣戈班高科技材料（上海）有限公司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KNF</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可耐福新加坡有限公司（KNAUF SINGAPORE PTE LTD）</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restart"/>
          </w:tcPr>
          <w:p>
            <w:pPr>
              <w:spacing w:line="360" w:lineRule="auto"/>
              <w:rPr>
                <w:rFonts w:hint="eastAsia" w:asciiTheme="minorEastAsia" w:hAnsiTheme="minorEastAsia" w:eastAsiaTheme="minorEastAsia"/>
                <w:color w:val="auto"/>
                <w:sz w:val="22"/>
                <w:lang w:val="en-US" w:eastAsia="zh-CN"/>
              </w:rPr>
            </w:pPr>
            <w:r>
              <w:rPr>
                <w:rFonts w:hint="eastAsia" w:asciiTheme="minorEastAsia" w:hAnsiTheme="minorEastAsia"/>
                <w:color w:val="auto"/>
                <w:sz w:val="22"/>
                <w:lang w:val="en-US" w:eastAsia="zh-CN"/>
              </w:rPr>
              <w:t>6</w:t>
            </w:r>
          </w:p>
        </w:tc>
        <w:tc>
          <w:tcPr>
            <w:tcW w:w="1680" w:type="dxa"/>
            <w:vMerge w:val="restart"/>
          </w:tcPr>
          <w:p>
            <w:pPr>
              <w:spacing w:line="360" w:lineRule="auto"/>
              <w:jc w:val="both"/>
              <w:rPr>
                <w:rFonts w:hint="default"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内外墙涂料</w:t>
            </w:r>
            <w:r>
              <w:rPr>
                <w:rFonts w:hint="eastAsia" w:asciiTheme="minorEastAsia" w:hAnsiTheme="minorEastAsia" w:eastAsiaTheme="minorEastAsia"/>
                <w:color w:val="auto"/>
                <w:sz w:val="22"/>
                <w:lang w:val="en-US" w:eastAsia="zh-CN"/>
              </w:rPr>
              <w:tab/>
            </w: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三棵树</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三棵树涂料股份有限公司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立邦</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立邦涂料(中国)有限公司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亚士</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亚士创能科技（上海）股份有限公司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丰彩</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江苏丰彩建材（集团）有限公司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restart"/>
          </w:tcPr>
          <w:p>
            <w:pPr>
              <w:spacing w:line="360" w:lineRule="auto"/>
              <w:rPr>
                <w:rFonts w:hint="eastAsia" w:asciiTheme="minorEastAsia" w:hAnsiTheme="minorEastAsia" w:eastAsiaTheme="minorEastAsia"/>
                <w:color w:val="auto"/>
                <w:sz w:val="22"/>
                <w:lang w:val="en-US" w:eastAsia="zh-CN"/>
              </w:rPr>
            </w:pPr>
            <w:r>
              <w:rPr>
                <w:rFonts w:hint="eastAsia" w:asciiTheme="minorEastAsia" w:hAnsiTheme="minorEastAsia"/>
                <w:color w:val="auto"/>
                <w:sz w:val="22"/>
                <w:lang w:val="en-US" w:eastAsia="zh-CN"/>
              </w:rPr>
              <w:t>7</w:t>
            </w:r>
          </w:p>
        </w:tc>
        <w:tc>
          <w:tcPr>
            <w:tcW w:w="1680" w:type="dxa"/>
            <w:vMerge w:val="restart"/>
          </w:tcPr>
          <w:p>
            <w:pPr>
              <w:spacing w:line="360" w:lineRule="auto"/>
              <w:jc w:val="both"/>
              <w:rPr>
                <w:rFonts w:hint="default"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复合地板</w:t>
            </w:r>
            <w:r>
              <w:rPr>
                <w:rFonts w:hint="eastAsia" w:asciiTheme="minorEastAsia" w:hAnsiTheme="minorEastAsia" w:eastAsiaTheme="minorEastAsia"/>
                <w:color w:val="auto"/>
                <w:sz w:val="22"/>
                <w:lang w:val="en-US" w:eastAsia="zh-CN"/>
              </w:rPr>
              <w:tab/>
            </w: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圣象</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圣象集团有限公司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菲林格尔</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菲林格尔家居科技股份有限公司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大自然</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大自然地板(中国)有限公司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restart"/>
          </w:tcPr>
          <w:p>
            <w:pPr>
              <w:spacing w:line="360" w:lineRule="auto"/>
              <w:rPr>
                <w:rFonts w:hint="eastAsia" w:asciiTheme="minorEastAsia" w:hAnsiTheme="minorEastAsia" w:eastAsiaTheme="minorEastAsia"/>
                <w:color w:val="auto"/>
                <w:sz w:val="22"/>
                <w:lang w:val="en-US" w:eastAsia="zh-CN"/>
              </w:rPr>
            </w:pPr>
            <w:r>
              <w:rPr>
                <w:rFonts w:hint="eastAsia" w:asciiTheme="minorEastAsia" w:hAnsiTheme="minorEastAsia"/>
                <w:color w:val="auto"/>
                <w:sz w:val="22"/>
                <w:lang w:val="en-US" w:eastAsia="zh-CN"/>
              </w:rPr>
              <w:t>8</w:t>
            </w:r>
          </w:p>
        </w:tc>
        <w:tc>
          <w:tcPr>
            <w:tcW w:w="1680" w:type="dxa"/>
            <w:vMerge w:val="restart"/>
          </w:tcPr>
          <w:p>
            <w:pPr>
              <w:spacing w:line="360" w:lineRule="auto"/>
              <w:jc w:val="both"/>
              <w:rPr>
                <w:rFonts w:hint="default" w:asciiTheme="minorEastAsia" w:hAnsiTheme="minorEastAsia" w:eastAsiaTheme="minorEastAsia"/>
                <w:color w:val="auto"/>
                <w:sz w:val="22"/>
                <w:lang w:val="en-US" w:eastAsia="zh-CN"/>
              </w:rPr>
            </w:pPr>
            <w:r>
              <w:rPr>
                <w:rFonts w:hint="default" w:asciiTheme="minorEastAsia" w:hAnsiTheme="minorEastAsia" w:eastAsiaTheme="minorEastAsia"/>
                <w:color w:val="auto"/>
                <w:sz w:val="22"/>
                <w:lang w:val="en-US" w:eastAsia="zh-CN"/>
              </w:rPr>
              <w:t>空调(国产</w:t>
            </w:r>
            <w:r>
              <w:rPr>
                <w:rFonts w:hint="eastAsia" w:asciiTheme="minorEastAsia" w:hAnsiTheme="minorEastAsia" w:eastAsiaTheme="minorEastAsia"/>
                <w:color w:val="auto"/>
                <w:sz w:val="22"/>
                <w:lang w:val="en-US" w:eastAsia="zh-CN"/>
              </w:rPr>
              <w:t>）</w:t>
            </w: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格力</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珠海格力电器股份有限公司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美的</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美的集团股份有限公司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海信</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海信集团有限公司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海尔</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海尔集团公司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restart"/>
          </w:tcPr>
          <w:p>
            <w:pPr>
              <w:spacing w:line="360" w:lineRule="auto"/>
              <w:rPr>
                <w:rFonts w:hint="eastAsia" w:asciiTheme="minorEastAsia" w:hAnsiTheme="minorEastAsia" w:eastAsiaTheme="minorEastAsia"/>
                <w:color w:val="auto"/>
                <w:sz w:val="22"/>
                <w:lang w:val="en-US" w:eastAsia="zh-CN"/>
              </w:rPr>
            </w:pPr>
            <w:r>
              <w:rPr>
                <w:rFonts w:hint="eastAsia" w:asciiTheme="minorEastAsia" w:hAnsiTheme="minorEastAsia"/>
                <w:color w:val="auto"/>
                <w:sz w:val="22"/>
                <w:lang w:val="en-US" w:eastAsia="zh-CN"/>
              </w:rPr>
              <w:t>9</w:t>
            </w:r>
          </w:p>
        </w:tc>
        <w:tc>
          <w:tcPr>
            <w:tcW w:w="1680" w:type="dxa"/>
            <w:vMerge w:val="restart"/>
          </w:tcPr>
          <w:p>
            <w:pPr>
              <w:spacing w:line="360" w:lineRule="auto"/>
              <w:jc w:val="both"/>
              <w:rPr>
                <w:rFonts w:hint="default" w:asciiTheme="minorEastAsia" w:hAnsiTheme="minorEastAsia" w:eastAsiaTheme="minorEastAsia"/>
                <w:color w:val="auto"/>
                <w:sz w:val="22"/>
                <w:lang w:val="en-US" w:eastAsia="zh-CN"/>
              </w:rPr>
            </w:pPr>
            <w:r>
              <w:rPr>
                <w:rFonts w:hint="default" w:asciiTheme="minorEastAsia" w:hAnsiTheme="minorEastAsia" w:eastAsiaTheme="minorEastAsia"/>
                <w:color w:val="auto"/>
                <w:sz w:val="22"/>
                <w:lang w:val="en-US" w:eastAsia="zh-CN"/>
              </w:rPr>
              <w:t>开关插座</w:t>
            </w: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西门子</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西门子（中国）有限公司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ABB</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ABB（中国）有限公司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施耐德</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施耐德电气（中国）有限公司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restart"/>
          </w:tcPr>
          <w:p>
            <w:pPr>
              <w:spacing w:line="360" w:lineRule="auto"/>
              <w:rPr>
                <w:rFonts w:hint="default" w:asciiTheme="minorEastAsia" w:hAnsiTheme="minorEastAsia" w:eastAsiaTheme="minorEastAsia"/>
                <w:color w:val="auto"/>
                <w:sz w:val="22"/>
                <w:lang w:val="en-US" w:eastAsia="zh-CN"/>
              </w:rPr>
            </w:pPr>
            <w:r>
              <w:rPr>
                <w:rFonts w:hint="eastAsia" w:asciiTheme="minorEastAsia" w:hAnsiTheme="minorEastAsia"/>
                <w:color w:val="auto"/>
                <w:sz w:val="22"/>
                <w:lang w:val="en-US" w:eastAsia="zh-CN"/>
              </w:rPr>
              <w:t>10</w:t>
            </w:r>
          </w:p>
        </w:tc>
        <w:tc>
          <w:tcPr>
            <w:tcW w:w="1680" w:type="dxa"/>
            <w:vMerge w:val="restart"/>
          </w:tcPr>
          <w:p>
            <w:pPr>
              <w:spacing w:line="360" w:lineRule="auto"/>
              <w:jc w:val="both"/>
              <w:rPr>
                <w:rFonts w:hint="default" w:asciiTheme="minorEastAsia" w:hAnsiTheme="minorEastAsia" w:eastAsiaTheme="minorEastAsia"/>
                <w:color w:val="auto"/>
                <w:sz w:val="22"/>
                <w:lang w:val="en-US" w:eastAsia="zh-CN"/>
              </w:rPr>
            </w:pPr>
            <w:r>
              <w:rPr>
                <w:rFonts w:hint="default" w:asciiTheme="minorEastAsia" w:hAnsiTheme="minorEastAsia" w:eastAsiaTheme="minorEastAsia"/>
                <w:color w:val="auto"/>
                <w:sz w:val="22"/>
                <w:lang w:val="en-US" w:eastAsia="zh-CN"/>
              </w:rPr>
              <w:t>电线、电缆</w:t>
            </w: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远东线缆</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远东电缆有限公司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五彩</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无锡江南电缆有限公司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上上</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江苏上上电缆集团有限公司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宝胜</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宝胜科技创新股份有限公司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restart"/>
          </w:tcPr>
          <w:p>
            <w:pPr>
              <w:spacing w:line="360" w:lineRule="auto"/>
              <w:rPr>
                <w:rFonts w:hint="default" w:asciiTheme="minorEastAsia" w:hAnsiTheme="minorEastAsia" w:eastAsiaTheme="minorEastAsia"/>
                <w:color w:val="auto"/>
                <w:sz w:val="22"/>
                <w:lang w:val="en-US" w:eastAsia="zh-CN"/>
              </w:rPr>
            </w:pPr>
            <w:r>
              <w:rPr>
                <w:rFonts w:hint="eastAsia" w:asciiTheme="minorEastAsia" w:hAnsiTheme="minorEastAsia"/>
                <w:color w:val="auto"/>
                <w:sz w:val="22"/>
                <w:lang w:val="en-US" w:eastAsia="zh-CN"/>
              </w:rPr>
              <w:t>11</w:t>
            </w:r>
          </w:p>
        </w:tc>
        <w:tc>
          <w:tcPr>
            <w:tcW w:w="1680" w:type="dxa"/>
            <w:vMerge w:val="restart"/>
          </w:tcPr>
          <w:p>
            <w:pPr>
              <w:spacing w:line="360" w:lineRule="auto"/>
              <w:jc w:val="both"/>
              <w:rPr>
                <w:rFonts w:hint="default" w:asciiTheme="minorEastAsia" w:hAnsiTheme="minorEastAsia" w:eastAsiaTheme="minorEastAsia"/>
                <w:color w:val="auto"/>
                <w:sz w:val="22"/>
                <w:lang w:val="en-US" w:eastAsia="zh-CN"/>
              </w:rPr>
            </w:pPr>
            <w:r>
              <w:rPr>
                <w:rFonts w:hint="default" w:asciiTheme="minorEastAsia" w:hAnsiTheme="minorEastAsia" w:eastAsiaTheme="minorEastAsia"/>
                <w:color w:val="auto"/>
                <w:sz w:val="22"/>
                <w:lang w:val="en-US" w:eastAsia="zh-CN"/>
              </w:rPr>
              <w:t>室内照明灯具</w:t>
            </w: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三雄极光</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广东三雄极光照明股份有限公司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飞利浦</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昕诺飞(中国) 投资有限公司</w:t>
            </w:r>
          </w:p>
        </w:tc>
        <w:tc>
          <w:tcPr>
            <w:tcW w:w="662" w:type="dxa"/>
          </w:tcPr>
          <w:p>
            <w:pPr>
              <w:spacing w:line="360" w:lineRule="auto"/>
              <w:rPr>
                <w:rFonts w:asciiTheme="minorEastAsia" w:hAnsiTheme="minorEastAsia"/>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75" w:type="dxa"/>
            <w:vMerge w:val="continue"/>
          </w:tcPr>
          <w:p>
            <w:pPr>
              <w:spacing w:line="360" w:lineRule="auto"/>
              <w:rPr>
                <w:rFonts w:asciiTheme="minorEastAsia" w:hAnsiTheme="minorEastAsia"/>
                <w:color w:val="auto"/>
                <w:sz w:val="22"/>
              </w:rPr>
            </w:pPr>
          </w:p>
        </w:tc>
        <w:tc>
          <w:tcPr>
            <w:tcW w:w="1680" w:type="dxa"/>
            <w:vMerge w:val="continue"/>
          </w:tcPr>
          <w:p>
            <w:pPr>
              <w:spacing w:line="360" w:lineRule="auto"/>
              <w:jc w:val="both"/>
              <w:rPr>
                <w:rFonts w:hint="default" w:asciiTheme="minorEastAsia" w:hAnsiTheme="minorEastAsia" w:eastAsiaTheme="minorEastAsia"/>
                <w:color w:val="auto"/>
                <w:sz w:val="22"/>
                <w:lang w:val="en-US" w:eastAsia="zh-CN"/>
              </w:rPr>
            </w:pPr>
          </w:p>
        </w:tc>
        <w:tc>
          <w:tcPr>
            <w:tcW w:w="1835"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欧普 OPPLE</w:t>
            </w:r>
          </w:p>
        </w:tc>
        <w:tc>
          <w:tcPr>
            <w:tcW w:w="3740" w:type="dxa"/>
          </w:tcPr>
          <w:p>
            <w:pPr>
              <w:spacing w:line="360" w:lineRule="auto"/>
              <w:jc w:val="both"/>
              <w:rPr>
                <w:rFonts w:hint="eastAsia" w:asciiTheme="minorEastAsia" w:hAnsiTheme="minorEastAsia" w:eastAsiaTheme="minorEastAsia"/>
                <w:color w:val="auto"/>
                <w:sz w:val="22"/>
                <w:lang w:val="en-US" w:eastAsia="zh-CN"/>
              </w:rPr>
            </w:pPr>
            <w:r>
              <w:rPr>
                <w:rFonts w:hint="eastAsia" w:asciiTheme="minorEastAsia" w:hAnsiTheme="minorEastAsia" w:eastAsiaTheme="minorEastAsia"/>
                <w:color w:val="auto"/>
                <w:sz w:val="22"/>
                <w:lang w:val="en-US" w:eastAsia="zh-CN"/>
              </w:rPr>
              <w:t>欧普照明股份有限公司</w:t>
            </w:r>
          </w:p>
        </w:tc>
        <w:tc>
          <w:tcPr>
            <w:tcW w:w="662" w:type="dxa"/>
          </w:tcPr>
          <w:p>
            <w:pPr>
              <w:spacing w:line="360" w:lineRule="auto"/>
              <w:rPr>
                <w:rFonts w:asciiTheme="minorEastAsia" w:hAnsiTheme="minorEastAsia"/>
                <w:color w:val="auto"/>
                <w:sz w:val="22"/>
              </w:rPr>
            </w:pPr>
          </w:p>
        </w:tc>
      </w:tr>
    </w:tbl>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2、主要材料技术标准和质量要求如下：</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numPr>
          <w:ilvl w:val="0"/>
          <w:numId w:val="2"/>
        </w:numPr>
        <w:spacing w:line="360" w:lineRule="auto"/>
        <w:ind w:firstLine="442" w:firstLineChars="200"/>
        <w:rPr>
          <w:rFonts w:hint="eastAsia" w:asciiTheme="minorEastAsia" w:hAnsiTheme="minorEastAsia"/>
          <w:b/>
          <w:color w:val="auto"/>
          <w:sz w:val="22"/>
          <w:lang w:eastAsia="zh-CN"/>
        </w:rPr>
      </w:pPr>
      <w:r>
        <w:rPr>
          <w:rFonts w:hint="eastAsia" w:asciiTheme="minorEastAsia" w:hAnsiTheme="minorEastAsia"/>
          <w:b/>
          <w:color w:val="auto"/>
          <w:sz w:val="22"/>
        </w:rPr>
        <w:t>招标人自行采购的主要材料设备</w:t>
      </w:r>
      <w:r>
        <w:rPr>
          <w:rFonts w:hint="eastAsia" w:asciiTheme="minorEastAsia" w:hAnsiTheme="minorEastAsia"/>
          <w:b/>
          <w:color w:val="auto"/>
          <w:sz w:val="22"/>
          <w:lang w:eastAsia="zh-CN"/>
        </w:rPr>
        <w:t>：</w:t>
      </w:r>
    </w:p>
    <w:p>
      <w:pPr>
        <w:spacing w:line="360" w:lineRule="auto"/>
        <w:ind w:firstLine="440" w:firstLineChars="200"/>
        <w:rPr>
          <w:rFonts w:hint="eastAsia" w:asciiTheme="minorEastAsia" w:hAnsiTheme="minorEastAsia"/>
          <w:color w:val="auto"/>
          <w:sz w:val="22"/>
          <w:lang w:val="en-US" w:eastAsia="zh-CN"/>
        </w:rPr>
      </w:pPr>
      <w:r>
        <w:rPr>
          <w:rFonts w:hint="eastAsia" w:asciiTheme="minorEastAsia" w:hAnsiTheme="minorEastAsia"/>
          <w:color w:val="auto"/>
          <w:sz w:val="22"/>
          <w:lang w:val="en-US" w:eastAsia="zh-CN"/>
        </w:rPr>
        <w:t>无。</w:t>
      </w:r>
    </w:p>
    <w:p>
      <w:pPr>
        <w:spacing w:line="360" w:lineRule="auto"/>
        <w:ind w:firstLine="442" w:firstLineChars="200"/>
        <w:rPr>
          <w:rFonts w:asciiTheme="minorEastAsia" w:hAnsiTheme="minorEastAsia"/>
          <w:b/>
          <w:color w:val="auto"/>
          <w:sz w:val="22"/>
        </w:rPr>
      </w:pPr>
      <w:r>
        <w:rPr>
          <w:rFonts w:hint="eastAsia" w:asciiTheme="minorEastAsia" w:hAnsiTheme="minorEastAsia"/>
          <w:b/>
          <w:color w:val="auto"/>
          <w:sz w:val="22"/>
        </w:rPr>
        <w:t>七、其他说明</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3、工程量清单报价应包括完成招标文件规定的工程量清单项目所需的全部费用，其内含：</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①包括分部分项工程费、措施费、其它项目费和规费、税金；</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②包括完成每分部分项工程所含全部工程内容的费用；</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③包括完成每项工程内容所需的全部费用；</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④工程量清单项目中没有体现的，施工中又必须发生的工程内容所需的费用；</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⑤考虑风险因素而调整的费用；</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⑥因招标人在招标文件中的要求而发生的费用。</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5、若设计图纸、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594A21"/>
    <w:multiLevelType w:val="singleLevel"/>
    <w:tmpl w:val="FA594A21"/>
    <w:lvl w:ilvl="0" w:tentative="0">
      <w:start w:val="2"/>
      <w:numFmt w:val="chineseCounting"/>
      <w:suff w:val="nothing"/>
      <w:lvlText w:val="（%1）"/>
      <w:lvlJc w:val="left"/>
      <w:rPr>
        <w:rFonts w:hint="eastAsia"/>
      </w:rPr>
    </w:lvl>
  </w:abstractNum>
  <w:abstractNum w:abstractNumId="1">
    <w:nsid w:val="FB92CCB3"/>
    <w:multiLevelType w:val="singleLevel"/>
    <w:tmpl w:val="FB92CCB3"/>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jYzZlZTg4MzU4ODkyMzVkNjJiNTU2YjY4MmNlOTY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11A583D"/>
    <w:rsid w:val="160E6919"/>
    <w:rsid w:val="25F2188D"/>
    <w:rsid w:val="2EBF6305"/>
    <w:rsid w:val="323B5820"/>
    <w:rsid w:val="3BD258C9"/>
    <w:rsid w:val="42445376"/>
    <w:rsid w:val="44FF5255"/>
    <w:rsid w:val="4B5B7C6C"/>
    <w:rsid w:val="56DF0A43"/>
    <w:rsid w:val="6B625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uiPriority w:val="99"/>
    <w:rPr>
      <w:sz w:val="18"/>
      <w:szCs w:val="18"/>
    </w:rPr>
  </w:style>
  <w:style w:type="character" w:customStyle="1" w:styleId="9">
    <w:name w:val="页脚 Char"/>
    <w:basedOn w:val="7"/>
    <w:link w:val="3"/>
    <w:uiPriority w:val="99"/>
    <w:rPr>
      <w:sz w:val="18"/>
      <w:szCs w:val="18"/>
    </w:rPr>
  </w:style>
  <w:style w:type="character" w:customStyle="1" w:styleId="10">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2707</Words>
  <Characters>2811</Characters>
  <Lines>19</Lines>
  <Paragraphs>5</Paragraphs>
  <TotalTime>2</TotalTime>
  <ScaleCrop>false</ScaleCrop>
  <LinksUpToDate>false</LinksUpToDate>
  <CharactersWithSpaces>2826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丽丽十七</cp:lastModifiedBy>
  <dcterms:modified xsi:type="dcterms:W3CDTF">2023-06-29T08:29:10Z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E768740D77A449EFB28040EC8E370C8F_12</vt:lpwstr>
  </property>
</Properties>
</file>