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rPr>
        <w:t>招标工程量清单编制说明</w:t>
      </w:r>
    </w:p>
    <w:p>
      <w:pPr>
        <w:spacing w:line="360" w:lineRule="auto"/>
        <w:ind w:firstLine="442" w:firstLineChars="200"/>
        <w:rPr>
          <w:rFonts w:asciiTheme="minorEastAsia" w:hAnsiTheme="minorEastAsia"/>
          <w:b/>
          <w:sz w:val="22"/>
        </w:rPr>
      </w:pPr>
      <w:r>
        <w:rPr>
          <w:rFonts w:hint="eastAsia" w:asciiTheme="minorEastAsia" w:hAnsiTheme="minorEastAsia"/>
          <w:b/>
          <w:sz w:val="22"/>
        </w:rPr>
        <w:t>一、工程概况</w:t>
      </w:r>
    </w:p>
    <w:p>
      <w:pPr>
        <w:spacing w:line="360" w:lineRule="auto"/>
        <w:ind w:firstLine="440" w:firstLineChars="200"/>
        <w:rPr>
          <w:rFonts w:hint="eastAsia"/>
          <w:color w:val="FF0000"/>
          <w:sz w:val="22"/>
          <w:highlight w:val="none"/>
        </w:rPr>
      </w:pPr>
      <w:r>
        <w:rPr>
          <w:rFonts w:hint="eastAsia"/>
          <w:color w:val="FF0000"/>
          <w:sz w:val="22"/>
          <w:highlight w:val="none"/>
        </w:rPr>
        <w:t>本项目为</w:t>
      </w:r>
      <w:r>
        <w:rPr>
          <w:rFonts w:hint="eastAsia"/>
          <w:color w:val="FF0000"/>
          <w:sz w:val="22"/>
          <w:highlight w:val="none"/>
          <w:lang w:eastAsia="zh-CN"/>
        </w:rPr>
        <w:t>南京大学仙林校区学生宿舍楼第28-30幢项目围挡工程</w:t>
      </w:r>
      <w:r>
        <w:rPr>
          <w:rFonts w:hint="eastAsia"/>
          <w:color w:val="FF0000"/>
          <w:sz w:val="22"/>
          <w:highlight w:val="none"/>
        </w:rPr>
        <w:t>。</w:t>
      </w:r>
    </w:p>
    <w:p>
      <w:pPr>
        <w:spacing w:line="360" w:lineRule="auto"/>
        <w:ind w:firstLine="442" w:firstLineChars="200"/>
        <w:rPr>
          <w:rFonts w:asciiTheme="minorEastAsia" w:hAnsiTheme="minorEastAsia"/>
          <w:b/>
          <w:sz w:val="22"/>
        </w:rPr>
      </w:pPr>
      <w:r>
        <w:rPr>
          <w:rFonts w:hint="eastAsia" w:asciiTheme="minorEastAsia" w:hAnsiTheme="minorEastAsia"/>
          <w:b/>
          <w:sz w:val="22"/>
        </w:rPr>
        <w:t>二、工程招标和分包范围</w:t>
      </w:r>
    </w:p>
    <w:p>
      <w:pPr>
        <w:spacing w:line="360" w:lineRule="auto"/>
        <w:ind w:firstLine="440" w:firstLineChars="200"/>
        <w:rPr>
          <w:rFonts w:hint="eastAsia" w:asciiTheme="minorEastAsia" w:hAnsiTheme="minorEastAsia"/>
          <w:b/>
          <w:i/>
          <w:color w:val="FF0000"/>
          <w:sz w:val="22"/>
          <w:u w:val="single"/>
        </w:rPr>
      </w:pPr>
      <w:r>
        <w:rPr>
          <w:rFonts w:hint="eastAsia" w:asciiTheme="minorEastAsia" w:hAnsiTheme="minorEastAsia"/>
          <w:color w:val="FF0000"/>
          <w:sz w:val="22"/>
          <w:highlight w:val="none"/>
        </w:rPr>
        <w:t>内容主要包括</w:t>
      </w:r>
      <w:r>
        <w:rPr>
          <w:rFonts w:hint="eastAsia" w:asciiTheme="minorEastAsia" w:hAnsiTheme="minorEastAsia"/>
          <w:color w:val="FF0000"/>
          <w:sz w:val="22"/>
          <w:highlight w:val="none"/>
          <w:lang w:val="en-US" w:eastAsia="zh-CN"/>
        </w:rPr>
        <w:t>彩钢板围挡新建、钢结构用房拆除等</w:t>
      </w:r>
      <w:r>
        <w:rPr>
          <w:rFonts w:hint="eastAsia" w:asciiTheme="minorEastAsia" w:hAnsiTheme="minorEastAsia"/>
          <w:color w:val="FF0000"/>
          <w:sz w:val="22"/>
          <w:highlight w:val="none"/>
          <w:lang w:eastAsia="zh-CN"/>
        </w:rPr>
        <w:t>。</w:t>
      </w:r>
    </w:p>
    <w:p>
      <w:pPr>
        <w:spacing w:line="360" w:lineRule="auto"/>
        <w:ind w:firstLine="442" w:firstLineChars="200"/>
        <w:rPr>
          <w:rFonts w:asciiTheme="minorEastAsia" w:hAnsiTheme="minorEastAsia"/>
          <w:sz w:val="22"/>
        </w:rPr>
      </w:pPr>
      <w:r>
        <w:rPr>
          <w:rFonts w:hint="eastAsia" w:asciiTheme="minorEastAsia" w:hAnsiTheme="minorEastAsia"/>
          <w:b/>
          <w:sz w:val="22"/>
        </w:rPr>
        <w:t>三、编制依据</w:t>
      </w:r>
      <w:bookmarkStart w:id="0" w:name="_GoBack"/>
      <w:bookmarkEnd w:id="0"/>
    </w:p>
    <w:p>
      <w:pPr>
        <w:spacing w:line="360" w:lineRule="auto"/>
        <w:ind w:firstLine="440" w:firstLineChars="200"/>
        <w:rPr>
          <w:rFonts w:asciiTheme="minorEastAsia" w:hAnsiTheme="minorEastAsia"/>
          <w:color w:val="FF0000"/>
          <w:sz w:val="22"/>
        </w:rPr>
      </w:pPr>
      <w:r>
        <w:rPr>
          <w:rFonts w:hint="eastAsia" w:asciiTheme="minorEastAsia" w:hAnsiTheme="minorEastAsia"/>
          <w:sz w:val="22"/>
        </w:rPr>
        <w:t>1、</w:t>
      </w:r>
      <w:r>
        <w:rPr>
          <w:rFonts w:hint="eastAsia" w:asciiTheme="minorEastAsia" w:hAnsiTheme="minorEastAsia"/>
          <w:sz w:val="22"/>
          <w:lang w:val="en-US" w:eastAsia="zh-CN"/>
        </w:rPr>
        <w:t>设计图纸</w:t>
      </w:r>
      <w:r>
        <w:rPr>
          <w:rFonts w:hint="eastAsia" w:asciiTheme="minorEastAsia" w:hAnsiTheme="minorEastAsia"/>
          <w:sz w:val="22"/>
        </w:rPr>
        <w:t>。</w:t>
      </w:r>
    </w:p>
    <w:p>
      <w:pPr>
        <w:spacing w:line="360" w:lineRule="auto"/>
        <w:ind w:firstLine="440" w:firstLineChars="200"/>
        <w:rPr>
          <w:rFonts w:asciiTheme="minorEastAsia" w:hAnsiTheme="minorEastAsia"/>
          <w:b/>
          <w:i/>
          <w:sz w:val="22"/>
          <w:u w:val="single"/>
        </w:rPr>
      </w:pPr>
      <w:r>
        <w:rPr>
          <w:rFonts w:hint="eastAsia" w:asciiTheme="minorEastAsia" w:hAnsiTheme="minorEastAsia"/>
          <w:sz w:val="22"/>
        </w:rPr>
        <w:t>2、消耗量定额：</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①《江苏省建筑与装饰工程计价定额》（2014）</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②《江苏省安装工程计价定额》（2014）</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③《江苏省修缮建筑工程计价定额》（2009）</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④现行相关补充或调整文件</w:t>
      </w:r>
    </w:p>
    <w:p>
      <w:pPr>
        <w:spacing w:line="360" w:lineRule="auto"/>
        <w:ind w:firstLine="440" w:firstLineChars="200"/>
        <w:rPr>
          <w:rFonts w:asciiTheme="minorEastAsia" w:hAnsiTheme="minorEastAsia"/>
          <w:sz w:val="22"/>
        </w:rPr>
      </w:pPr>
      <w:r>
        <w:rPr>
          <w:rFonts w:hint="eastAsia" w:asciiTheme="minorEastAsia" w:hAnsiTheme="minorEastAsia"/>
          <w:sz w:val="22"/>
          <w:lang w:val="en-US" w:eastAsia="zh-CN"/>
        </w:rPr>
        <w:t>3</w:t>
      </w:r>
      <w:r>
        <w:rPr>
          <w:rFonts w:hint="eastAsia" w:asciiTheme="minorEastAsia" w:hAnsiTheme="minorEastAsia"/>
          <w:sz w:val="22"/>
        </w:rPr>
        <w:t>、与本工程项目有关的标准、施工规范与验收规范。</w:t>
      </w:r>
    </w:p>
    <w:p>
      <w:pPr>
        <w:spacing w:line="360" w:lineRule="auto"/>
        <w:ind w:firstLine="442" w:firstLineChars="200"/>
        <w:rPr>
          <w:rFonts w:asciiTheme="minorEastAsia" w:hAnsiTheme="minorEastAsia"/>
          <w:sz w:val="22"/>
        </w:rPr>
      </w:pPr>
      <w:r>
        <w:rPr>
          <w:rFonts w:hint="eastAsia" w:asciiTheme="minorEastAsia" w:hAnsiTheme="minorEastAsia"/>
          <w:b/>
          <w:sz w:val="22"/>
        </w:rPr>
        <w:t>四、取费标准</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1、《江苏省建设工程费用定额》（2014）。</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2、《省住房城乡建设厅关于建筑业实施营改增后江苏省建设工程计价依据调整的通知》 苏建价（2016）154号文及相关附件。</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3、《省住房城乡建设厅关于建筑业增值税计价政策调整的通知》苏建函价（2019）178号文。</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4、《省住房城乡建设厅关于建筑工人实名制费用计取方法的公告》〔2019〕第19号</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5、依据《建设工程计价设备材料划分标准》（GB/T50531-2009）划分的设备以设备形式计入且不计取总价措施费及规费。</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6、安全文明施工措施费计取基本费和扬尘污染防治增加费。</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7、政策性文件及报价参考执行投标截止日前省市建委造价有关文件，投标截止日后的省市建委造价文件不予执行。</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lang w:val="en-US" w:eastAsia="zh-CN"/>
        </w:rPr>
        <w:t>8</w:t>
      </w:r>
      <w:r>
        <w:rPr>
          <w:rFonts w:hint="eastAsia" w:asciiTheme="minorEastAsia" w:hAnsiTheme="minorEastAsia"/>
          <w:color w:val="00B0F0"/>
          <w:sz w:val="22"/>
        </w:rPr>
        <w:t>、人工工资参考江苏省建设工程人工工资指导价自主报价，其它费用按照省市建委发布的有关文件及政策规定等执行，报价参考执行投标截止日前省建设厅、市建委造价有关文件。</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lang w:val="en-US" w:eastAsia="zh-CN"/>
        </w:rPr>
        <w:t>9</w:t>
      </w:r>
      <w:r>
        <w:rPr>
          <w:rFonts w:hint="eastAsia" w:asciiTheme="minorEastAsia" w:hAnsiTheme="minorEastAsia"/>
          <w:color w:val="00B0F0"/>
          <w:sz w:val="22"/>
        </w:rPr>
        <w:t>、暂列金额及暂估价：</w:t>
      </w:r>
    </w:p>
    <w:p>
      <w:pPr>
        <w:spacing w:line="360" w:lineRule="auto"/>
        <w:ind w:firstLine="440" w:firstLineChars="200"/>
        <w:rPr>
          <w:rFonts w:hint="eastAsia" w:asciiTheme="minorEastAsia" w:hAnsiTheme="minorEastAsia"/>
          <w:color w:val="FF0000"/>
          <w:sz w:val="22"/>
        </w:rPr>
      </w:pPr>
      <w:r>
        <w:rPr>
          <w:rFonts w:hint="eastAsia" w:asciiTheme="minorEastAsia" w:hAnsiTheme="minorEastAsia"/>
          <w:color w:val="00B0F0"/>
          <w:sz w:val="22"/>
        </w:rPr>
        <w:t>（1）暂列金额：</w:t>
      </w:r>
      <w:r>
        <w:rPr>
          <w:rFonts w:hint="eastAsia" w:asciiTheme="minorEastAsia" w:hAnsiTheme="minorEastAsia"/>
          <w:color w:val="00B0F0"/>
          <w:sz w:val="22"/>
          <w:lang w:val="en-US" w:eastAsia="zh-CN"/>
        </w:rPr>
        <w:t>3160.25</w:t>
      </w:r>
      <w:r>
        <w:rPr>
          <w:rFonts w:hint="eastAsia" w:asciiTheme="minorEastAsia" w:hAnsiTheme="minorEastAsia"/>
          <w:color w:val="FF0000"/>
          <w:sz w:val="22"/>
          <w:lang w:val="en-US" w:eastAsia="zh-CN"/>
        </w:rPr>
        <w:t>元</w:t>
      </w:r>
      <w:r>
        <w:rPr>
          <w:rFonts w:hint="eastAsia" w:asciiTheme="minorEastAsia" w:hAnsiTheme="minorEastAsia"/>
          <w:color w:val="FF0000"/>
          <w:sz w:val="22"/>
        </w:rPr>
        <w:t>。</w:t>
      </w:r>
    </w:p>
    <w:p>
      <w:pPr>
        <w:spacing w:line="360" w:lineRule="auto"/>
        <w:ind w:firstLine="440" w:firstLineChars="200"/>
        <w:rPr>
          <w:rFonts w:hint="eastAsia" w:asciiTheme="minorEastAsia" w:hAnsiTheme="minorEastAsia" w:eastAsiaTheme="minorEastAsia"/>
          <w:color w:val="00B0F0"/>
          <w:sz w:val="22"/>
          <w:lang w:eastAsia="zh-CN"/>
        </w:rPr>
      </w:pPr>
      <w:r>
        <w:rPr>
          <w:rFonts w:hint="eastAsia" w:asciiTheme="minorEastAsia" w:hAnsiTheme="minorEastAsia"/>
          <w:color w:val="00B0F0"/>
          <w:sz w:val="22"/>
        </w:rPr>
        <w:t>（2）暂估价：</w:t>
      </w:r>
      <w:r>
        <w:rPr>
          <w:rFonts w:hint="eastAsia" w:asciiTheme="minorEastAsia" w:hAnsiTheme="minorEastAsia"/>
          <w:color w:val="FF0000"/>
          <w:sz w:val="22"/>
          <w:lang w:val="en-US" w:eastAsia="zh-CN"/>
        </w:rPr>
        <w:t>无。</w:t>
      </w:r>
    </w:p>
    <w:p>
      <w:pPr>
        <w:spacing w:line="360" w:lineRule="auto"/>
        <w:ind w:firstLine="442" w:firstLineChars="200"/>
        <w:rPr>
          <w:rFonts w:asciiTheme="minorEastAsia" w:hAnsiTheme="minorEastAsia"/>
          <w:b/>
          <w:i/>
          <w:color w:val="FF0000"/>
          <w:sz w:val="22"/>
          <w:u w:val="single"/>
        </w:rPr>
      </w:pPr>
      <w:r>
        <w:rPr>
          <w:rFonts w:hint="eastAsia" w:asciiTheme="minorEastAsia" w:hAnsiTheme="minorEastAsia"/>
          <w:b/>
          <w:sz w:val="22"/>
        </w:rPr>
        <w:t>五、图纸及工程量计算中的相关说明</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1、通用部分</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1）工程量清单应与招标文件、招标项目设计图纸等文件结合起来查阅与理解。工程量清单中所描述的项目特征仅为招标人对该分部分项目工程特征的概述，而非是工程特征的全面描述，报价时必须按设计图纸及相关的国家规范的要求。</w:t>
      </w:r>
    </w:p>
    <w:p>
      <w:pPr>
        <w:spacing w:line="360" w:lineRule="auto"/>
        <w:ind w:firstLine="440" w:firstLineChars="200"/>
        <w:rPr>
          <w:rFonts w:hint="eastAsia"/>
          <w:color w:val="00B0F0"/>
          <w:sz w:val="22"/>
        </w:rPr>
      </w:pPr>
      <w:r>
        <w:rPr>
          <w:rFonts w:hint="eastAsia"/>
          <w:color w:val="00B0F0"/>
          <w:sz w:val="22"/>
          <w:lang w:eastAsia="zh-CN"/>
        </w:rPr>
        <w:t>（</w:t>
      </w:r>
      <w:r>
        <w:rPr>
          <w:rFonts w:hint="eastAsia"/>
          <w:color w:val="00B0F0"/>
          <w:sz w:val="22"/>
          <w:lang w:val="en-US" w:eastAsia="zh-CN"/>
        </w:rPr>
        <w:t>2</w:t>
      </w:r>
      <w:r>
        <w:rPr>
          <w:rFonts w:hint="eastAsia"/>
          <w:color w:val="00B0F0"/>
          <w:sz w:val="22"/>
          <w:lang w:eastAsia="zh-CN"/>
        </w:rPr>
        <w:t>）</w:t>
      </w:r>
      <w:r>
        <w:rPr>
          <w:rFonts w:hint="eastAsia"/>
          <w:color w:val="00B0F0"/>
          <w:sz w:val="22"/>
        </w:rPr>
        <w:t>投标人应对图纸内容和清单中的每一个项目进行报价（包括综合单价及合价），如漏报或少报项目，则视为其费用已含在其它项目的综合单价或合价中，结算时不调整。</w:t>
      </w:r>
    </w:p>
    <w:p>
      <w:pPr>
        <w:spacing w:line="360" w:lineRule="auto"/>
        <w:ind w:firstLine="440" w:firstLineChars="200"/>
        <w:rPr>
          <w:rFonts w:hint="eastAsia"/>
          <w:color w:val="00B0F0"/>
          <w:sz w:val="22"/>
        </w:rPr>
      </w:pPr>
      <w:r>
        <w:rPr>
          <w:rFonts w:hint="eastAsia"/>
          <w:color w:val="00B0F0"/>
          <w:sz w:val="22"/>
          <w:lang w:eastAsia="zh-CN"/>
        </w:rPr>
        <w:t>（</w:t>
      </w:r>
      <w:r>
        <w:rPr>
          <w:rFonts w:hint="eastAsia"/>
          <w:color w:val="00B0F0"/>
          <w:sz w:val="22"/>
          <w:lang w:val="en-US" w:eastAsia="zh-CN"/>
        </w:rPr>
        <w:t>3</w:t>
      </w:r>
      <w:r>
        <w:rPr>
          <w:rFonts w:hint="eastAsia"/>
          <w:color w:val="00B0F0"/>
          <w:sz w:val="22"/>
          <w:lang w:eastAsia="zh-CN"/>
        </w:rPr>
        <w:t>）</w:t>
      </w:r>
      <w:r>
        <w:rPr>
          <w:rFonts w:hint="eastAsia"/>
          <w:color w:val="00B0F0"/>
          <w:sz w:val="22"/>
        </w:rPr>
        <w:t>工程量清单中的总价措施项目费用除安全文明措施费用按规定费率调整外，其余措施项目费用由投标单位踏勘现场后，根据施工组织设计及有关现行施工要求自行考虑完整计入投标报价中。措施费应包括场内外运输、机械进退场、临时设施、材料周转、垂直运输、二次搬运、高压防护、赶工措施、机械停置、噪音排污、围挡、非夜间施工照明费、夜间施工费、冬雨季施工、地上、地下设施、建筑物的临时保护设施、已完工程及设备保护、赶工措施、管线调查与保护、已完工程及设备保护费、交通协调以及根据本招标文件要求的风险金等全部费用。未计入部分按优惠考虑、结算时不再调整。</w:t>
      </w:r>
    </w:p>
    <w:p>
      <w:pPr>
        <w:spacing w:line="360" w:lineRule="auto"/>
        <w:ind w:firstLine="440" w:firstLineChars="200"/>
        <w:rPr>
          <w:rFonts w:hint="eastAsia"/>
          <w:color w:val="00B0F0"/>
          <w:sz w:val="22"/>
          <w:lang w:val="zh-CN"/>
        </w:rPr>
      </w:pPr>
      <w:r>
        <w:rPr>
          <w:rFonts w:hint="eastAsia"/>
          <w:color w:val="00B0F0"/>
          <w:sz w:val="22"/>
          <w:szCs w:val="22"/>
          <w:lang w:val="en-US" w:eastAsia="zh-CN"/>
        </w:rPr>
        <w:t>（4）</w:t>
      </w:r>
      <w:r>
        <w:rPr>
          <w:rFonts w:hint="eastAsia"/>
          <w:color w:val="00B0F0"/>
          <w:sz w:val="22"/>
          <w:szCs w:val="22"/>
          <w:lang w:val="zh-CN" w:eastAsia="zh-CN"/>
        </w:rPr>
        <w:t>各投标人在进行综合报价时必须结合施工图、招标文件中的相关条款及清单描述进行报价，清单子目中未能对各节点详图进行完全性描述的必须结合施工图详细节点进行报价，否则视为已计入相应项目综合单价内，中标后将不调整综合单价。若施工图、招标文件中相关</w:t>
      </w:r>
      <w:r>
        <w:rPr>
          <w:rFonts w:hint="eastAsia"/>
          <w:color w:val="00B0F0"/>
          <w:sz w:val="22"/>
          <w:lang w:val="zh-CN"/>
        </w:rPr>
        <w:t>条款及清单描述有冲突的，投标人应在“澄清答疑”环节中向招标人提出，招标人将在“澄清答疑”环节中答复；投标人未在“澄清答疑”环节提出的，则最终解释权归属于招标人。</w:t>
      </w:r>
    </w:p>
    <w:p>
      <w:pPr>
        <w:spacing w:line="360" w:lineRule="auto"/>
        <w:ind w:firstLine="440" w:firstLineChars="200"/>
        <w:rPr>
          <w:rFonts w:hint="eastAsia"/>
          <w:color w:val="00B0F0"/>
          <w:sz w:val="22"/>
          <w:lang w:val="zh-CN"/>
        </w:rPr>
      </w:pPr>
      <w:r>
        <w:rPr>
          <w:rFonts w:hint="eastAsia"/>
          <w:color w:val="00B0F0"/>
          <w:sz w:val="22"/>
          <w:lang w:val="zh-CN"/>
        </w:rPr>
        <w:t>（</w:t>
      </w:r>
      <w:r>
        <w:rPr>
          <w:rFonts w:hint="eastAsia"/>
          <w:color w:val="00B0F0"/>
          <w:sz w:val="22"/>
          <w:lang w:val="en-US" w:eastAsia="zh-CN"/>
        </w:rPr>
        <w:t>5</w:t>
      </w:r>
      <w:r>
        <w:rPr>
          <w:rFonts w:hint="eastAsia"/>
          <w:color w:val="00B0F0"/>
          <w:sz w:val="22"/>
          <w:lang w:val="zh-CN"/>
        </w:rPr>
        <w:t>）本工程所需报验、报检费用甲方不予承担，投标人自行考虑计入投标报价；</w:t>
      </w:r>
    </w:p>
    <w:p>
      <w:pPr>
        <w:spacing w:line="360" w:lineRule="auto"/>
        <w:ind w:firstLine="440" w:firstLineChars="200"/>
        <w:rPr>
          <w:rFonts w:hint="eastAsia"/>
          <w:color w:val="00B0F0"/>
          <w:sz w:val="22"/>
          <w:lang w:val="zh-CN"/>
        </w:rPr>
      </w:pPr>
      <w:r>
        <w:rPr>
          <w:rFonts w:hint="eastAsia"/>
          <w:color w:val="00B0F0"/>
          <w:sz w:val="22"/>
          <w:lang w:val="zh-CN"/>
        </w:rPr>
        <w:t>（</w:t>
      </w:r>
      <w:r>
        <w:rPr>
          <w:rFonts w:hint="eastAsia"/>
          <w:color w:val="00B0F0"/>
          <w:sz w:val="22"/>
          <w:lang w:val="en-US" w:eastAsia="zh-CN"/>
        </w:rPr>
        <w:t>6</w:t>
      </w:r>
      <w:r>
        <w:rPr>
          <w:rFonts w:hint="eastAsia"/>
          <w:color w:val="00B0F0"/>
          <w:sz w:val="22"/>
          <w:lang w:val="zh-CN"/>
        </w:rPr>
        <w:t>）清单中所有的材料（包含设备）的型号和规格都摘录自图纸中，如型号或规格涉及指定某品牌的产品则说明此材料（包含设备）的参数参照此产品，不作为品牌要求的依据，详细的品牌需参照甲方提供的品牌表。</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2、</w:t>
      </w:r>
      <w:r>
        <w:rPr>
          <w:rFonts w:hint="eastAsia" w:asciiTheme="minorEastAsia" w:hAnsiTheme="minorEastAsia"/>
          <w:color w:val="00B0F0"/>
          <w:sz w:val="22"/>
          <w:lang w:val="en-US" w:eastAsia="zh-CN"/>
        </w:rPr>
        <w:t>其他</w:t>
      </w:r>
      <w:r>
        <w:rPr>
          <w:rFonts w:hint="eastAsia" w:asciiTheme="minorEastAsia" w:hAnsiTheme="minorEastAsia"/>
          <w:color w:val="00B0F0"/>
          <w:sz w:val="22"/>
        </w:rPr>
        <w:t>部分</w:t>
      </w:r>
    </w:p>
    <w:p>
      <w:pPr>
        <w:spacing w:line="360" w:lineRule="auto"/>
        <w:ind w:firstLine="440" w:firstLineChars="200"/>
        <w:rPr>
          <w:rFonts w:hint="eastAsia" w:asciiTheme="minorEastAsia" w:hAnsiTheme="minorEastAsia"/>
          <w:color w:val="00B0F0"/>
          <w:sz w:val="22"/>
        </w:rPr>
      </w:pPr>
      <w:r>
        <w:rPr>
          <w:rFonts w:hint="eastAsia" w:asciiTheme="minorEastAsia" w:hAnsiTheme="minorEastAsia"/>
          <w:color w:val="00B0F0"/>
          <w:sz w:val="22"/>
        </w:rPr>
        <w:t>（1）施工工程需注意成品保护，避免损坏其他构件，应考虑对现状构件保护的费用，拆除工程施工前,对周边搭设支撑以作保护，以上由投标人综合考虑；</w:t>
      </w:r>
    </w:p>
    <w:p>
      <w:pPr>
        <w:spacing w:line="360" w:lineRule="auto"/>
        <w:ind w:firstLine="440" w:firstLineChars="200"/>
        <w:rPr>
          <w:rFonts w:hint="eastAsia" w:asciiTheme="minorEastAsia" w:hAnsiTheme="minorEastAsia"/>
          <w:color w:val="00B0F0"/>
          <w:sz w:val="22"/>
        </w:rPr>
      </w:pPr>
      <w:r>
        <w:rPr>
          <w:rFonts w:hint="eastAsia" w:asciiTheme="minorEastAsia" w:hAnsiTheme="minorEastAsia"/>
          <w:color w:val="00B0F0"/>
          <w:sz w:val="22"/>
        </w:rPr>
        <w:t>（2）建筑垃圾弃置含渣土费、消纳费，弃置距离自行考虑，实际弃置场地与运距由投标人自行考虑，结算不作调整；</w:t>
      </w:r>
    </w:p>
    <w:p>
      <w:pPr>
        <w:spacing w:line="360" w:lineRule="auto"/>
        <w:ind w:firstLine="440" w:firstLineChars="200"/>
        <w:rPr>
          <w:rFonts w:hint="eastAsia" w:asciiTheme="minorEastAsia" w:hAnsiTheme="minorEastAsia" w:eastAsiaTheme="minorEastAsia"/>
          <w:color w:val="00B0F0"/>
          <w:sz w:val="22"/>
          <w:lang w:eastAsia="zh-CN"/>
        </w:rPr>
      </w:pPr>
      <w:r>
        <w:rPr>
          <w:rFonts w:hint="eastAsia" w:asciiTheme="minorEastAsia" w:hAnsiTheme="minorEastAsia"/>
          <w:color w:val="00B0F0"/>
          <w:sz w:val="22"/>
        </w:rPr>
        <w:t>（3）拆除过程中现场场内搬运等费用由投标人综合考虑在报价中，结算不再另行增加相关措施费</w:t>
      </w:r>
      <w:r>
        <w:rPr>
          <w:rFonts w:hint="eastAsia" w:asciiTheme="minorEastAsia" w:hAnsiTheme="minorEastAsia"/>
          <w:color w:val="00B0F0"/>
          <w:sz w:val="22"/>
          <w:lang w:eastAsia="zh-CN"/>
        </w:rPr>
        <w:t>。</w:t>
      </w:r>
    </w:p>
    <w:p>
      <w:pPr>
        <w:spacing w:line="360" w:lineRule="auto"/>
        <w:ind w:firstLine="442" w:firstLineChars="200"/>
        <w:rPr>
          <w:rFonts w:asciiTheme="minorEastAsia" w:hAnsiTheme="minorEastAsia"/>
          <w:b/>
          <w:sz w:val="22"/>
        </w:rPr>
      </w:pPr>
      <w:r>
        <w:rPr>
          <w:rFonts w:hint="eastAsia" w:asciiTheme="minorEastAsia" w:hAnsiTheme="minorEastAsia"/>
          <w:b/>
          <w:sz w:val="22"/>
        </w:rPr>
        <w:t>六、主要材料设备</w:t>
      </w:r>
    </w:p>
    <w:p>
      <w:pPr>
        <w:spacing w:line="360" w:lineRule="auto"/>
        <w:ind w:firstLine="442" w:firstLineChars="200"/>
        <w:rPr>
          <w:rFonts w:asciiTheme="minorEastAsia" w:hAnsiTheme="minorEastAsia"/>
          <w:b/>
          <w:sz w:val="22"/>
        </w:rPr>
      </w:pPr>
      <w:r>
        <w:rPr>
          <w:rFonts w:hint="eastAsia" w:asciiTheme="minorEastAsia" w:hAnsiTheme="minorEastAsia"/>
          <w:b/>
          <w:sz w:val="22"/>
        </w:rPr>
        <w:t>（一）投标人负责采购的主要材料设备</w:t>
      </w:r>
    </w:p>
    <w:p>
      <w:pPr>
        <w:spacing w:line="360" w:lineRule="auto"/>
        <w:ind w:firstLine="440" w:firstLineChars="200"/>
        <w:rPr>
          <w:rFonts w:asciiTheme="minorEastAsia" w:hAnsiTheme="minorEastAsia"/>
          <w:sz w:val="22"/>
        </w:rPr>
      </w:pPr>
      <w:r>
        <w:rPr>
          <w:rFonts w:hint="eastAsia" w:asciiTheme="minorEastAsia" w:hAnsiTheme="minorEastAsia"/>
          <w:sz w:val="22"/>
        </w:rPr>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人推荐的主要材料品牌。</w:t>
      </w:r>
    </w:p>
    <w:p>
      <w:pPr>
        <w:spacing w:line="360" w:lineRule="auto"/>
        <w:ind w:firstLine="440" w:firstLineChars="200"/>
        <w:rPr>
          <w:rFonts w:asciiTheme="minorEastAsia" w:hAnsiTheme="minorEastAsia"/>
          <w:sz w:val="22"/>
        </w:rPr>
      </w:pPr>
      <w:r>
        <w:rPr>
          <w:rFonts w:hint="eastAsia" w:asciiTheme="minorEastAsia" w:hAnsiTheme="minorEastAsia"/>
          <w:sz w:val="22"/>
        </w:rPr>
        <w:t>1、本项目主要材料品牌推荐表如下：</w:t>
      </w:r>
    </w:p>
    <w:tbl>
      <w:tblPr>
        <w:tblStyle w:val="7"/>
        <w:tblW w:w="487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1836"/>
        <w:gridCol w:w="1924"/>
        <w:gridCol w:w="3622"/>
        <w:gridCol w:w="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Align w:val="center"/>
          </w:tcPr>
          <w:p>
            <w:pPr>
              <w:spacing w:line="360" w:lineRule="auto"/>
              <w:jc w:val="center"/>
              <w:rPr>
                <w:rFonts w:asciiTheme="minorEastAsia" w:hAnsiTheme="minorEastAsia"/>
                <w:color w:val="00B0F0"/>
                <w:sz w:val="22"/>
              </w:rPr>
            </w:pPr>
            <w:r>
              <w:rPr>
                <w:rFonts w:hint="eastAsia" w:asciiTheme="minorEastAsia" w:hAnsiTheme="minorEastAsia"/>
                <w:color w:val="00B0F0"/>
                <w:sz w:val="22"/>
              </w:rPr>
              <w:t>序号</w:t>
            </w:r>
          </w:p>
        </w:tc>
        <w:tc>
          <w:tcPr>
            <w:tcW w:w="1014" w:type="pct"/>
            <w:vAlign w:val="center"/>
          </w:tcPr>
          <w:p>
            <w:pPr>
              <w:spacing w:line="360" w:lineRule="auto"/>
              <w:jc w:val="center"/>
              <w:rPr>
                <w:rFonts w:asciiTheme="minorEastAsia" w:hAnsiTheme="minorEastAsia"/>
                <w:color w:val="00B0F0"/>
                <w:sz w:val="22"/>
              </w:rPr>
            </w:pPr>
            <w:r>
              <w:rPr>
                <w:rFonts w:hint="eastAsia" w:asciiTheme="minorEastAsia" w:hAnsiTheme="minorEastAsia"/>
                <w:color w:val="00B0F0"/>
                <w:sz w:val="22"/>
              </w:rPr>
              <w:t>材料设备名称</w:t>
            </w:r>
          </w:p>
        </w:tc>
        <w:tc>
          <w:tcPr>
            <w:tcW w:w="1063" w:type="pct"/>
            <w:vAlign w:val="center"/>
          </w:tcPr>
          <w:p>
            <w:pPr>
              <w:spacing w:line="360" w:lineRule="auto"/>
              <w:jc w:val="center"/>
              <w:rPr>
                <w:rFonts w:asciiTheme="minorEastAsia" w:hAnsiTheme="minorEastAsia"/>
                <w:color w:val="00B0F0"/>
                <w:sz w:val="22"/>
              </w:rPr>
            </w:pPr>
            <w:r>
              <w:rPr>
                <w:rFonts w:hint="eastAsia" w:asciiTheme="minorEastAsia" w:hAnsiTheme="minorEastAsia"/>
                <w:color w:val="00B0F0"/>
                <w:sz w:val="22"/>
              </w:rPr>
              <w:t>推荐品牌（系列）</w:t>
            </w:r>
          </w:p>
        </w:tc>
        <w:tc>
          <w:tcPr>
            <w:tcW w:w="2001" w:type="pct"/>
            <w:vAlign w:val="center"/>
          </w:tcPr>
          <w:p>
            <w:pPr>
              <w:spacing w:line="360" w:lineRule="auto"/>
              <w:jc w:val="center"/>
              <w:rPr>
                <w:rFonts w:asciiTheme="minorEastAsia" w:hAnsiTheme="minorEastAsia"/>
                <w:color w:val="00B0F0"/>
                <w:sz w:val="22"/>
              </w:rPr>
            </w:pPr>
            <w:r>
              <w:rPr>
                <w:rFonts w:hint="eastAsia" w:asciiTheme="minorEastAsia" w:hAnsiTheme="minorEastAsia"/>
                <w:color w:val="00B0F0"/>
                <w:sz w:val="22"/>
              </w:rPr>
              <w:t>制造商名称</w:t>
            </w:r>
          </w:p>
        </w:tc>
        <w:tc>
          <w:tcPr>
            <w:tcW w:w="542" w:type="pct"/>
            <w:vAlign w:val="center"/>
          </w:tcPr>
          <w:p>
            <w:pPr>
              <w:spacing w:line="360" w:lineRule="auto"/>
              <w:jc w:val="center"/>
              <w:rPr>
                <w:rFonts w:asciiTheme="minorEastAsia" w:hAnsiTheme="minorEastAsia"/>
                <w:color w:val="00B0F0"/>
                <w:sz w:val="22"/>
              </w:rPr>
            </w:pPr>
            <w:r>
              <w:rPr>
                <w:rFonts w:hint="eastAsia" w:asciiTheme="minorEastAsia" w:hAnsiTheme="minorEastAsia"/>
                <w:color w:val="00B0F0"/>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restart"/>
            <w:vAlign w:val="center"/>
          </w:tcPr>
          <w:p>
            <w:pPr>
              <w:spacing w:line="360" w:lineRule="auto"/>
              <w:jc w:val="both"/>
              <w:rPr>
                <w:rFonts w:hint="eastAsia" w:asciiTheme="minorEastAsia" w:hAnsiTheme="minorEastAsia" w:eastAsiaTheme="minorEastAsia" w:cstheme="minorEastAsia"/>
                <w:color w:val="FF0000"/>
                <w:sz w:val="22"/>
                <w:lang w:val="en-US" w:eastAsia="zh-CN"/>
              </w:rPr>
            </w:pPr>
            <w:r>
              <w:rPr>
                <w:rFonts w:hint="eastAsia" w:asciiTheme="minorEastAsia" w:hAnsiTheme="minorEastAsia" w:eastAsiaTheme="minorEastAsia" w:cstheme="minorEastAsia"/>
                <w:color w:val="FF0000"/>
                <w:sz w:val="22"/>
                <w:lang w:val="en-US" w:eastAsia="zh-CN"/>
              </w:rPr>
              <w:t>1</w:t>
            </w:r>
          </w:p>
        </w:tc>
        <w:tc>
          <w:tcPr>
            <w:tcW w:w="1014" w:type="pct"/>
            <w:vMerge w:val="restar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钢筋</w:t>
            </w:r>
          </w:p>
        </w:tc>
        <w:tc>
          <w:tcPr>
            <w:tcW w:w="1063" w:type="pct"/>
            <w:vAlign w:val="center"/>
          </w:tcPr>
          <w:p>
            <w:pPr>
              <w:spacing w:line="360" w:lineRule="auto"/>
              <w:jc w:val="center"/>
              <w:rPr>
                <w:rFonts w:hint="eastAsia" w:asciiTheme="minorEastAsia" w:hAnsiTheme="minorEastAsia" w:eastAsiaTheme="minorEastAsia"/>
                <w:color w:val="FF0000"/>
                <w:sz w:val="22"/>
                <w:lang w:val="en-US" w:eastAsia="zh-CN"/>
              </w:rPr>
            </w:pPr>
            <w:r>
              <w:rPr>
                <w:rFonts w:hint="eastAsia" w:asciiTheme="minorEastAsia" w:hAnsiTheme="minorEastAsia" w:eastAsiaTheme="minorEastAsia"/>
                <w:color w:val="FF0000"/>
                <w:sz w:val="22"/>
                <w:lang w:val="en-US" w:eastAsia="zh-CN"/>
              </w:rPr>
              <w:t>马钢</w:t>
            </w:r>
          </w:p>
        </w:tc>
        <w:tc>
          <w:tcPr>
            <w:tcW w:w="2001"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马鞍山钢铁股份有限公司</w:t>
            </w:r>
          </w:p>
        </w:tc>
        <w:tc>
          <w:tcPr>
            <w:tcW w:w="542" w:type="pct"/>
            <w:vAlign w:val="center"/>
          </w:tcPr>
          <w:p>
            <w:pPr>
              <w:spacing w:line="360" w:lineRule="auto"/>
              <w:jc w:val="center"/>
              <w:rPr>
                <w:rFonts w:asciiTheme="minorEastAsia" w:hAnsiTheme="minorEastAsia"/>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continue"/>
            <w:vAlign w:val="center"/>
          </w:tcPr>
          <w:p>
            <w:pPr>
              <w:spacing w:line="360" w:lineRule="auto"/>
              <w:jc w:val="both"/>
              <w:rPr>
                <w:rFonts w:hint="eastAsia" w:asciiTheme="minorEastAsia" w:hAnsiTheme="minorEastAsia" w:eastAsiaTheme="minorEastAsia" w:cstheme="minorEastAsia"/>
                <w:color w:val="FF0000"/>
                <w:sz w:val="22"/>
              </w:rPr>
            </w:pPr>
          </w:p>
        </w:tc>
        <w:tc>
          <w:tcPr>
            <w:tcW w:w="1014" w:type="pct"/>
            <w:vMerge w:val="continue"/>
            <w:vAlign w:val="center"/>
          </w:tcPr>
          <w:p>
            <w:pPr>
              <w:spacing w:line="360" w:lineRule="auto"/>
              <w:jc w:val="center"/>
              <w:rPr>
                <w:rFonts w:asciiTheme="minorEastAsia" w:hAnsiTheme="minorEastAsia"/>
                <w:color w:val="FF0000"/>
                <w:sz w:val="22"/>
              </w:rPr>
            </w:pPr>
          </w:p>
        </w:tc>
        <w:tc>
          <w:tcPr>
            <w:tcW w:w="1063"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沙钢</w:t>
            </w:r>
          </w:p>
        </w:tc>
        <w:tc>
          <w:tcPr>
            <w:tcW w:w="2001"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江苏沙钢集团有限公司</w:t>
            </w:r>
          </w:p>
        </w:tc>
        <w:tc>
          <w:tcPr>
            <w:tcW w:w="542" w:type="pct"/>
            <w:vAlign w:val="center"/>
          </w:tcPr>
          <w:p>
            <w:pPr>
              <w:spacing w:line="360" w:lineRule="auto"/>
              <w:jc w:val="center"/>
              <w:rPr>
                <w:rFonts w:asciiTheme="minorEastAsia" w:hAnsiTheme="minorEastAsia"/>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continue"/>
            <w:vAlign w:val="center"/>
          </w:tcPr>
          <w:p>
            <w:pPr>
              <w:spacing w:line="360" w:lineRule="auto"/>
              <w:jc w:val="both"/>
              <w:rPr>
                <w:rFonts w:hint="eastAsia" w:asciiTheme="minorEastAsia" w:hAnsiTheme="minorEastAsia" w:eastAsiaTheme="minorEastAsia" w:cstheme="minorEastAsia"/>
                <w:color w:val="FF0000"/>
                <w:sz w:val="22"/>
              </w:rPr>
            </w:pPr>
          </w:p>
        </w:tc>
        <w:tc>
          <w:tcPr>
            <w:tcW w:w="1014" w:type="pct"/>
            <w:vMerge w:val="continue"/>
            <w:vAlign w:val="center"/>
          </w:tcPr>
          <w:p>
            <w:pPr>
              <w:spacing w:line="360" w:lineRule="auto"/>
              <w:jc w:val="center"/>
              <w:rPr>
                <w:rFonts w:asciiTheme="minorEastAsia" w:hAnsiTheme="minorEastAsia"/>
                <w:color w:val="FF0000"/>
                <w:sz w:val="22"/>
              </w:rPr>
            </w:pPr>
          </w:p>
        </w:tc>
        <w:tc>
          <w:tcPr>
            <w:tcW w:w="1063"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南钢</w:t>
            </w:r>
          </w:p>
        </w:tc>
        <w:tc>
          <w:tcPr>
            <w:tcW w:w="2001"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南京钢铁股份有限公司</w:t>
            </w:r>
          </w:p>
        </w:tc>
        <w:tc>
          <w:tcPr>
            <w:tcW w:w="542" w:type="pct"/>
            <w:vAlign w:val="center"/>
          </w:tcPr>
          <w:p>
            <w:pPr>
              <w:spacing w:line="360" w:lineRule="auto"/>
              <w:jc w:val="center"/>
              <w:rPr>
                <w:rFonts w:asciiTheme="minorEastAsia" w:hAnsiTheme="minorEastAsia"/>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continue"/>
            <w:vAlign w:val="center"/>
          </w:tcPr>
          <w:p>
            <w:pPr>
              <w:spacing w:line="360" w:lineRule="auto"/>
              <w:jc w:val="both"/>
              <w:rPr>
                <w:rFonts w:hint="eastAsia" w:asciiTheme="minorEastAsia" w:hAnsiTheme="minorEastAsia" w:eastAsiaTheme="minorEastAsia" w:cstheme="minorEastAsia"/>
                <w:color w:val="FF0000"/>
                <w:sz w:val="22"/>
              </w:rPr>
            </w:pPr>
          </w:p>
        </w:tc>
        <w:tc>
          <w:tcPr>
            <w:tcW w:w="1014" w:type="pct"/>
            <w:vMerge w:val="continue"/>
            <w:vAlign w:val="center"/>
          </w:tcPr>
          <w:p>
            <w:pPr>
              <w:spacing w:line="360" w:lineRule="auto"/>
              <w:jc w:val="center"/>
              <w:rPr>
                <w:rFonts w:asciiTheme="minorEastAsia" w:hAnsiTheme="minorEastAsia"/>
                <w:color w:val="FF0000"/>
                <w:sz w:val="22"/>
              </w:rPr>
            </w:pPr>
          </w:p>
        </w:tc>
        <w:tc>
          <w:tcPr>
            <w:tcW w:w="1063"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永钢</w:t>
            </w:r>
          </w:p>
        </w:tc>
        <w:tc>
          <w:tcPr>
            <w:tcW w:w="2001"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江苏永钢集团有限公司</w:t>
            </w:r>
          </w:p>
        </w:tc>
        <w:tc>
          <w:tcPr>
            <w:tcW w:w="542" w:type="pct"/>
            <w:vAlign w:val="center"/>
          </w:tcPr>
          <w:p>
            <w:pPr>
              <w:spacing w:line="360" w:lineRule="auto"/>
              <w:jc w:val="center"/>
              <w:rPr>
                <w:rFonts w:asciiTheme="minorEastAsia" w:hAnsiTheme="minorEastAsia"/>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378" w:type="pct"/>
            <w:vMerge w:val="restart"/>
            <w:vAlign w:val="center"/>
          </w:tcPr>
          <w:p>
            <w:pPr>
              <w:spacing w:line="360" w:lineRule="auto"/>
              <w:jc w:val="both"/>
              <w:rPr>
                <w:rFonts w:hint="eastAsia" w:asciiTheme="minorEastAsia" w:hAnsiTheme="minorEastAsia" w:eastAsiaTheme="minorEastAsia" w:cstheme="minorEastAsia"/>
                <w:color w:val="FF0000"/>
                <w:sz w:val="22"/>
                <w:lang w:val="en-US" w:eastAsia="zh-CN"/>
              </w:rPr>
            </w:pPr>
            <w:r>
              <w:rPr>
                <w:rFonts w:hint="eastAsia" w:asciiTheme="minorEastAsia" w:hAnsiTheme="minorEastAsia" w:eastAsiaTheme="minorEastAsia" w:cstheme="minorEastAsia"/>
                <w:color w:val="FF0000"/>
                <w:sz w:val="22"/>
                <w:lang w:val="en-US" w:eastAsia="zh-CN"/>
              </w:rPr>
              <w:t>2</w:t>
            </w:r>
          </w:p>
        </w:tc>
        <w:tc>
          <w:tcPr>
            <w:tcW w:w="1014" w:type="pct"/>
            <w:vMerge w:val="restart"/>
            <w:vAlign w:val="center"/>
          </w:tcPr>
          <w:p>
            <w:pPr>
              <w:spacing w:line="360" w:lineRule="auto"/>
              <w:jc w:val="center"/>
              <w:rPr>
                <w:rFonts w:hint="eastAsia" w:asciiTheme="minorEastAsia" w:hAnsiTheme="minorEastAsia" w:eastAsiaTheme="minorEastAsia"/>
                <w:color w:val="FF0000"/>
                <w:sz w:val="22"/>
                <w:lang w:val="en-US" w:eastAsia="zh-CN"/>
              </w:rPr>
            </w:pPr>
            <w:r>
              <w:rPr>
                <w:rFonts w:hint="eastAsia" w:asciiTheme="minorEastAsia" w:hAnsiTheme="minorEastAsia"/>
                <w:color w:val="FF0000"/>
                <w:sz w:val="22"/>
                <w:lang w:val="en-US" w:eastAsia="zh-CN"/>
              </w:rPr>
              <w:t>水泥</w:t>
            </w:r>
          </w:p>
        </w:tc>
        <w:tc>
          <w:tcPr>
            <w:tcW w:w="1063"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海螺</w:t>
            </w:r>
          </w:p>
        </w:tc>
        <w:tc>
          <w:tcPr>
            <w:tcW w:w="2001"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安徽海螺水泥股份有限公司</w:t>
            </w:r>
          </w:p>
        </w:tc>
        <w:tc>
          <w:tcPr>
            <w:tcW w:w="542" w:type="pct"/>
            <w:vAlign w:val="center"/>
          </w:tcPr>
          <w:p>
            <w:pPr>
              <w:spacing w:line="360" w:lineRule="auto"/>
              <w:jc w:val="center"/>
              <w:rPr>
                <w:rFonts w:asciiTheme="minorEastAsia" w:hAnsiTheme="minorEastAsia"/>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continue"/>
            <w:vAlign w:val="center"/>
          </w:tcPr>
          <w:p>
            <w:pPr>
              <w:spacing w:line="360" w:lineRule="auto"/>
              <w:jc w:val="both"/>
              <w:rPr>
                <w:rFonts w:hint="eastAsia" w:asciiTheme="minorEastAsia" w:hAnsiTheme="minorEastAsia" w:eastAsiaTheme="minorEastAsia" w:cstheme="minorEastAsia"/>
                <w:color w:val="FF0000"/>
                <w:sz w:val="22"/>
              </w:rPr>
            </w:pPr>
          </w:p>
        </w:tc>
        <w:tc>
          <w:tcPr>
            <w:tcW w:w="1014" w:type="pct"/>
            <w:vMerge w:val="continue"/>
            <w:vAlign w:val="center"/>
          </w:tcPr>
          <w:p>
            <w:pPr>
              <w:spacing w:line="360" w:lineRule="auto"/>
              <w:jc w:val="center"/>
              <w:rPr>
                <w:rFonts w:asciiTheme="minorEastAsia" w:hAnsiTheme="minorEastAsia"/>
                <w:color w:val="FF0000"/>
                <w:sz w:val="22"/>
              </w:rPr>
            </w:pPr>
          </w:p>
        </w:tc>
        <w:tc>
          <w:tcPr>
            <w:tcW w:w="1063"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鹤林</w:t>
            </w:r>
          </w:p>
        </w:tc>
        <w:tc>
          <w:tcPr>
            <w:tcW w:w="2001"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江苏鹤林水泥有限公司</w:t>
            </w:r>
          </w:p>
        </w:tc>
        <w:tc>
          <w:tcPr>
            <w:tcW w:w="542" w:type="pct"/>
            <w:vAlign w:val="center"/>
          </w:tcPr>
          <w:p>
            <w:pPr>
              <w:spacing w:line="360" w:lineRule="auto"/>
              <w:jc w:val="center"/>
              <w:rPr>
                <w:rFonts w:asciiTheme="minorEastAsia" w:hAnsiTheme="minorEastAsia"/>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continue"/>
            <w:vAlign w:val="center"/>
          </w:tcPr>
          <w:p>
            <w:pPr>
              <w:spacing w:line="360" w:lineRule="auto"/>
              <w:jc w:val="both"/>
              <w:rPr>
                <w:rFonts w:hint="eastAsia" w:asciiTheme="minorEastAsia" w:hAnsiTheme="minorEastAsia" w:eastAsiaTheme="minorEastAsia" w:cstheme="minorEastAsia"/>
                <w:color w:val="FF0000"/>
                <w:sz w:val="22"/>
              </w:rPr>
            </w:pPr>
          </w:p>
        </w:tc>
        <w:tc>
          <w:tcPr>
            <w:tcW w:w="1014" w:type="pct"/>
            <w:vMerge w:val="continue"/>
            <w:vAlign w:val="center"/>
          </w:tcPr>
          <w:p>
            <w:pPr>
              <w:spacing w:line="360" w:lineRule="auto"/>
              <w:jc w:val="center"/>
              <w:rPr>
                <w:rFonts w:asciiTheme="minorEastAsia" w:hAnsiTheme="minorEastAsia"/>
                <w:color w:val="FF0000"/>
                <w:sz w:val="22"/>
              </w:rPr>
            </w:pPr>
          </w:p>
        </w:tc>
        <w:tc>
          <w:tcPr>
            <w:tcW w:w="1063"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中联</w:t>
            </w:r>
          </w:p>
        </w:tc>
        <w:tc>
          <w:tcPr>
            <w:tcW w:w="2001" w:type="pc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中国联合水泥集团有限公司</w:t>
            </w:r>
          </w:p>
        </w:tc>
        <w:tc>
          <w:tcPr>
            <w:tcW w:w="542" w:type="pct"/>
            <w:vAlign w:val="center"/>
          </w:tcPr>
          <w:p>
            <w:pPr>
              <w:spacing w:line="360" w:lineRule="auto"/>
              <w:jc w:val="center"/>
              <w:rPr>
                <w:rFonts w:asciiTheme="minorEastAsia" w:hAnsiTheme="minorEastAsia"/>
                <w:color w:val="FF0000"/>
                <w:sz w:val="22"/>
              </w:rPr>
            </w:pPr>
          </w:p>
        </w:tc>
      </w:tr>
    </w:tbl>
    <w:p>
      <w:pPr>
        <w:spacing w:line="360" w:lineRule="auto"/>
        <w:ind w:firstLine="440" w:firstLineChars="200"/>
        <w:rPr>
          <w:rFonts w:asciiTheme="minorEastAsia" w:hAnsiTheme="minorEastAsia"/>
          <w:sz w:val="22"/>
        </w:rPr>
      </w:pPr>
      <w:r>
        <w:rPr>
          <w:rFonts w:hint="eastAsia" w:asciiTheme="minorEastAsia" w:hAnsiTheme="minorEastAsia"/>
          <w:sz w:val="22"/>
        </w:rPr>
        <w:t>2、主要材料技术标准和质量要求如下：</w:t>
      </w:r>
    </w:p>
    <w:p>
      <w:pPr>
        <w:spacing w:line="360" w:lineRule="auto"/>
        <w:ind w:firstLine="440" w:firstLineChars="200"/>
        <w:rPr>
          <w:rFonts w:asciiTheme="minorEastAsia" w:hAnsiTheme="minorEastAsia"/>
          <w:sz w:val="22"/>
        </w:rPr>
      </w:pPr>
      <w:r>
        <w:rPr>
          <w:rFonts w:hint="eastAsia" w:asciiTheme="minorEastAsia" w:hAnsiTheme="minorEastAsia"/>
          <w:sz w:val="22"/>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pPr>
        <w:spacing w:line="360" w:lineRule="auto"/>
        <w:ind w:firstLine="442" w:firstLineChars="200"/>
        <w:rPr>
          <w:rFonts w:asciiTheme="minorEastAsia" w:hAnsiTheme="minorEastAsia"/>
          <w:b/>
          <w:i/>
          <w:color w:val="FF0000"/>
          <w:sz w:val="22"/>
          <w:u w:val="single"/>
        </w:rPr>
      </w:pPr>
      <w:r>
        <w:rPr>
          <w:rFonts w:hint="eastAsia" w:asciiTheme="minorEastAsia" w:hAnsiTheme="minorEastAsia"/>
          <w:b/>
          <w:sz w:val="22"/>
        </w:rPr>
        <w:t>（二）招标人自行采购的主要材料设备</w:t>
      </w:r>
    </w:p>
    <w:p>
      <w:pPr>
        <w:spacing w:line="360" w:lineRule="auto"/>
        <w:ind w:firstLine="440" w:firstLineChars="200"/>
        <w:rPr>
          <w:rFonts w:hint="eastAsia" w:asciiTheme="minorEastAsia" w:hAnsiTheme="minorEastAsia"/>
          <w:sz w:val="22"/>
          <w:lang w:val="en-US" w:eastAsia="zh-CN"/>
        </w:rPr>
      </w:pPr>
      <w:r>
        <w:rPr>
          <w:rFonts w:hint="eastAsia" w:asciiTheme="minorEastAsia" w:hAnsiTheme="minorEastAsia"/>
          <w:sz w:val="22"/>
          <w:lang w:val="en-US" w:eastAsia="zh-CN"/>
        </w:rPr>
        <w:t>详见招标清单</w:t>
      </w:r>
    </w:p>
    <w:p>
      <w:pPr>
        <w:spacing w:line="360" w:lineRule="auto"/>
        <w:ind w:firstLine="442" w:firstLineChars="200"/>
        <w:rPr>
          <w:rFonts w:asciiTheme="minorEastAsia" w:hAnsiTheme="minorEastAsia"/>
          <w:b/>
          <w:sz w:val="22"/>
        </w:rPr>
      </w:pPr>
      <w:r>
        <w:rPr>
          <w:rFonts w:hint="eastAsia" w:asciiTheme="minorEastAsia" w:hAnsiTheme="minorEastAsia"/>
          <w:b/>
          <w:sz w:val="22"/>
        </w:rPr>
        <w:t>七、其他说明</w:t>
      </w:r>
    </w:p>
    <w:p>
      <w:pPr>
        <w:spacing w:line="360" w:lineRule="auto"/>
        <w:ind w:firstLine="440" w:firstLineChars="200"/>
        <w:rPr>
          <w:rFonts w:asciiTheme="minorEastAsia" w:hAnsiTheme="minorEastAsia"/>
          <w:sz w:val="22"/>
        </w:rPr>
      </w:pPr>
      <w:r>
        <w:rPr>
          <w:rFonts w:hint="eastAsia" w:asciiTheme="minorEastAsia" w:hAnsiTheme="minorEastAsia"/>
          <w:sz w:val="22"/>
        </w:rPr>
        <w:t>1、投标人应认真理解和熟悉招标文件和设计图纸，并于投标前自行踏勘现场，充分了解并分析施工条件（包括施工现场红线范围内需要拆除的部位）；工程施工所需水、电、路、渣土堆放、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拆徐恢复原样。</w:t>
      </w:r>
    </w:p>
    <w:p>
      <w:pPr>
        <w:spacing w:line="360" w:lineRule="auto"/>
        <w:ind w:firstLine="440" w:firstLineChars="200"/>
        <w:rPr>
          <w:rFonts w:asciiTheme="minorEastAsia" w:hAnsiTheme="minorEastAsia"/>
          <w:sz w:val="22"/>
        </w:rPr>
      </w:pPr>
      <w:r>
        <w:rPr>
          <w:rFonts w:hint="eastAsia" w:asciiTheme="minorEastAsia" w:hAnsiTheme="minorEastAsia"/>
          <w:sz w:val="22"/>
        </w:rPr>
        <w:t>2、工程量清单中每一项目的工作内容，分部分项工程量清单中“项目特征”内容描述不详尽的，以设计图纸、《建设工程工程量清单计价规范》（GB50500-2013）及相关规范为准，设计图纸内的全部内容被认为综合在工程量清单中各项目工作内容内，施工材料及施工方法均须满足设计和规范要求。</w:t>
      </w:r>
    </w:p>
    <w:p>
      <w:pPr>
        <w:spacing w:line="360" w:lineRule="auto"/>
        <w:ind w:firstLine="440" w:firstLineChars="200"/>
        <w:rPr>
          <w:rFonts w:asciiTheme="minorEastAsia" w:hAnsiTheme="minorEastAsia"/>
          <w:sz w:val="22"/>
        </w:rPr>
      </w:pPr>
      <w:r>
        <w:rPr>
          <w:rFonts w:hint="eastAsia" w:asciiTheme="minorEastAsia" w:hAnsiTheme="minorEastAsia"/>
          <w:sz w:val="22"/>
        </w:rPr>
        <w:t>3、工程量清单报价应包括完成招标文件规定的工程量清单项目所需的全部费用，其内含：</w:t>
      </w:r>
    </w:p>
    <w:p>
      <w:pPr>
        <w:spacing w:line="360" w:lineRule="auto"/>
        <w:ind w:firstLine="440" w:firstLineChars="200"/>
        <w:rPr>
          <w:rFonts w:asciiTheme="minorEastAsia" w:hAnsiTheme="minorEastAsia"/>
          <w:sz w:val="22"/>
        </w:rPr>
      </w:pPr>
      <w:r>
        <w:rPr>
          <w:rFonts w:hint="eastAsia" w:asciiTheme="minorEastAsia" w:hAnsiTheme="minorEastAsia"/>
          <w:sz w:val="22"/>
        </w:rPr>
        <w:t>①包括分部分项工程费、措施费、其它项目费和规费、税金；</w:t>
      </w:r>
    </w:p>
    <w:p>
      <w:pPr>
        <w:spacing w:line="360" w:lineRule="auto"/>
        <w:ind w:firstLine="440" w:firstLineChars="200"/>
        <w:rPr>
          <w:rFonts w:asciiTheme="minorEastAsia" w:hAnsiTheme="minorEastAsia"/>
          <w:sz w:val="22"/>
        </w:rPr>
      </w:pPr>
      <w:r>
        <w:rPr>
          <w:rFonts w:hint="eastAsia" w:asciiTheme="minorEastAsia" w:hAnsiTheme="minorEastAsia"/>
          <w:sz w:val="22"/>
        </w:rPr>
        <w:t>②包括完成每分部分项工程所含全部工程内容的费用；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③包括完成每项工程内容所需的全部费用；</w:t>
      </w:r>
    </w:p>
    <w:p>
      <w:pPr>
        <w:spacing w:line="360" w:lineRule="auto"/>
        <w:ind w:firstLine="440" w:firstLineChars="200"/>
        <w:rPr>
          <w:rFonts w:asciiTheme="minorEastAsia" w:hAnsiTheme="minorEastAsia"/>
          <w:sz w:val="22"/>
        </w:rPr>
      </w:pPr>
      <w:r>
        <w:rPr>
          <w:rFonts w:hint="eastAsia" w:asciiTheme="minorEastAsia" w:hAnsiTheme="minorEastAsia"/>
          <w:sz w:val="22"/>
        </w:rPr>
        <w:t>④工程量清单项目中没有体现的，施工中又必须发生的工程内容所需的费用；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⑤考虑风险因素而调整的费用；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⑥因招标人在招标文件中的要求而发生的费用。</w:t>
      </w:r>
    </w:p>
    <w:p>
      <w:pPr>
        <w:spacing w:line="360" w:lineRule="auto"/>
        <w:ind w:firstLine="440" w:firstLineChars="200"/>
        <w:rPr>
          <w:rFonts w:asciiTheme="minorEastAsia" w:hAnsiTheme="minorEastAsia"/>
          <w:sz w:val="22"/>
        </w:rPr>
      </w:pPr>
      <w:r>
        <w:rPr>
          <w:rFonts w:hint="eastAsia" w:asciiTheme="minorEastAsia" w:hAnsiTheme="minorEastAsia"/>
          <w:sz w:val="22"/>
        </w:rPr>
        <w:t>4、对招标人所列的措施项目，投标人可根据工程实际与施工组织设计进行增补，不可竞争费不可更改。结算时，除工程变更引起施工方案改变外，承包人不得以招标工程措施项目清单缺项为由要求新增措施项目。措施费投标人须全面考虑，除招标文件中另有规定外，如有漏项，按投标人让利考虑。</w:t>
      </w:r>
    </w:p>
    <w:p>
      <w:pPr>
        <w:spacing w:line="360" w:lineRule="auto"/>
        <w:ind w:firstLine="440" w:firstLineChars="200"/>
        <w:rPr>
          <w:rFonts w:asciiTheme="minorEastAsia" w:hAnsiTheme="minorEastAsia"/>
          <w:sz w:val="22"/>
        </w:rPr>
      </w:pPr>
      <w:r>
        <w:rPr>
          <w:rFonts w:hint="eastAsia" w:asciiTheme="minorEastAsia" w:hAnsiTheme="minorEastAsia"/>
          <w:sz w:val="22"/>
        </w:rPr>
        <w:t>5、若设计图纸、招标文件中相关条款及清单描述有冲突的，投标人应在“澄清答疑”环节中向招标人提出，招标人将在“澄清答疑”环节中答复；投标人未在“澄清答疑”环节提出的，则最终解释权归属于招标人。</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mYmE5ZTMxNjQzNDBlMDMzODg5Y2UzZTMyYmIzYWIifQ=="/>
  </w:docVars>
  <w:rsids>
    <w:rsidRoot w:val="007216EE"/>
    <w:rsid w:val="00010537"/>
    <w:rsid w:val="000918CE"/>
    <w:rsid w:val="000B4442"/>
    <w:rsid w:val="000E4EFC"/>
    <w:rsid w:val="000F0F71"/>
    <w:rsid w:val="00110532"/>
    <w:rsid w:val="00135F54"/>
    <w:rsid w:val="001918E0"/>
    <w:rsid w:val="001A4FE1"/>
    <w:rsid w:val="001D63D0"/>
    <w:rsid w:val="002365A9"/>
    <w:rsid w:val="002C7843"/>
    <w:rsid w:val="002F4B81"/>
    <w:rsid w:val="0035412E"/>
    <w:rsid w:val="00364708"/>
    <w:rsid w:val="00365827"/>
    <w:rsid w:val="00394EF6"/>
    <w:rsid w:val="003E6A22"/>
    <w:rsid w:val="00403F89"/>
    <w:rsid w:val="00480D2C"/>
    <w:rsid w:val="004950B5"/>
    <w:rsid w:val="004A2003"/>
    <w:rsid w:val="004B1576"/>
    <w:rsid w:val="004D0895"/>
    <w:rsid w:val="0050066B"/>
    <w:rsid w:val="005136AA"/>
    <w:rsid w:val="00522799"/>
    <w:rsid w:val="0052678C"/>
    <w:rsid w:val="00531B35"/>
    <w:rsid w:val="00591850"/>
    <w:rsid w:val="005A65A1"/>
    <w:rsid w:val="005C1C94"/>
    <w:rsid w:val="00640023"/>
    <w:rsid w:val="006B3088"/>
    <w:rsid w:val="006C1D24"/>
    <w:rsid w:val="006C71B3"/>
    <w:rsid w:val="007216EE"/>
    <w:rsid w:val="00787904"/>
    <w:rsid w:val="007E10E0"/>
    <w:rsid w:val="00801BFF"/>
    <w:rsid w:val="00847CE5"/>
    <w:rsid w:val="00864452"/>
    <w:rsid w:val="00876B6F"/>
    <w:rsid w:val="00910F8C"/>
    <w:rsid w:val="00917415"/>
    <w:rsid w:val="00927DA5"/>
    <w:rsid w:val="00934BB6"/>
    <w:rsid w:val="0093552C"/>
    <w:rsid w:val="00955791"/>
    <w:rsid w:val="00965503"/>
    <w:rsid w:val="00973768"/>
    <w:rsid w:val="009D4EC2"/>
    <w:rsid w:val="009E6462"/>
    <w:rsid w:val="00A12B36"/>
    <w:rsid w:val="00A61BA3"/>
    <w:rsid w:val="00AA5070"/>
    <w:rsid w:val="00AD1268"/>
    <w:rsid w:val="00AE6169"/>
    <w:rsid w:val="00AF3547"/>
    <w:rsid w:val="00B77257"/>
    <w:rsid w:val="00BF0684"/>
    <w:rsid w:val="00C30855"/>
    <w:rsid w:val="00C42D0E"/>
    <w:rsid w:val="00C51FF7"/>
    <w:rsid w:val="00C65DC8"/>
    <w:rsid w:val="00D3387F"/>
    <w:rsid w:val="00D35105"/>
    <w:rsid w:val="00D77557"/>
    <w:rsid w:val="00D92B20"/>
    <w:rsid w:val="00DC00C4"/>
    <w:rsid w:val="00DC3B6C"/>
    <w:rsid w:val="00E07FAE"/>
    <w:rsid w:val="00EE0655"/>
    <w:rsid w:val="00EF2517"/>
    <w:rsid w:val="00F54A72"/>
    <w:rsid w:val="00F82DC4"/>
    <w:rsid w:val="0B9D61FB"/>
    <w:rsid w:val="0FFA6943"/>
    <w:rsid w:val="18FC5B66"/>
    <w:rsid w:val="193A32DB"/>
    <w:rsid w:val="1EF70DC5"/>
    <w:rsid w:val="1F0625DD"/>
    <w:rsid w:val="1FDE2C12"/>
    <w:rsid w:val="20B971DB"/>
    <w:rsid w:val="259A146C"/>
    <w:rsid w:val="29D51DFF"/>
    <w:rsid w:val="2EDE49DD"/>
    <w:rsid w:val="355E6877"/>
    <w:rsid w:val="3C814BF9"/>
    <w:rsid w:val="43302ED5"/>
    <w:rsid w:val="4738149E"/>
    <w:rsid w:val="48931F3C"/>
    <w:rsid w:val="4E501A6D"/>
    <w:rsid w:val="4F041DE6"/>
    <w:rsid w:val="4F665736"/>
    <w:rsid w:val="50485D02"/>
    <w:rsid w:val="518E3BE9"/>
    <w:rsid w:val="52292F38"/>
    <w:rsid w:val="56B934B6"/>
    <w:rsid w:val="581F37ED"/>
    <w:rsid w:val="5A1B7FE4"/>
    <w:rsid w:val="5F7623AC"/>
    <w:rsid w:val="62A212A2"/>
    <w:rsid w:val="63BF0B55"/>
    <w:rsid w:val="63DC64F9"/>
    <w:rsid w:val="7B252618"/>
    <w:rsid w:val="7E6A0F2D"/>
    <w:rsid w:val="7F453289"/>
    <w:rsid w:val="7FE311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眉 Char"/>
    <w:basedOn w:val="8"/>
    <w:link w:val="4"/>
    <w:uiPriority w:val="99"/>
    <w:rPr>
      <w:sz w:val="18"/>
      <w:szCs w:val="18"/>
    </w:rPr>
  </w:style>
  <w:style w:type="character" w:customStyle="1" w:styleId="10">
    <w:name w:val="页脚 Char"/>
    <w:basedOn w:val="8"/>
    <w:link w:val="3"/>
    <w:qFormat/>
    <w:uiPriority w:val="99"/>
    <w:rPr>
      <w:sz w:val="18"/>
      <w:szCs w:val="18"/>
    </w:rPr>
  </w:style>
  <w:style w:type="character" w:customStyle="1" w:styleId="11">
    <w:name w:val="批注框文本 Char"/>
    <w:basedOn w:val="8"/>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407</Words>
  <Characters>2324</Characters>
  <Lines>19</Lines>
  <Paragraphs>5</Paragraphs>
  <TotalTime>5</TotalTime>
  <ScaleCrop>false</ScaleCrop>
  <LinksUpToDate>false</LinksUpToDate>
  <CharactersWithSpaces>2726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2023-06-05T04:27:00Z</dcterms:created>
  <dc:creator>lujinzhi</dc:creator>
  <cp:lastModifiedBy>$￥</cp:lastModifiedBy>
  <dcterms:modified xsi:type="dcterms:W3CDTF">2023-11-28T08:38:23Z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6B00E45C21454D248A041EE1EE43BA83_12</vt:lpwstr>
  </property>
</Properties>
</file>