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708" w:rsidRDefault="00DB38AE">
      <w:pPr>
        <w:jc w:val="center"/>
        <w:rPr>
          <w:b/>
          <w:sz w:val="32"/>
          <w:szCs w:val="32"/>
        </w:rPr>
      </w:pPr>
      <w:r>
        <w:rPr>
          <w:rFonts w:hint="eastAsia"/>
          <w:b/>
          <w:sz w:val="32"/>
          <w:szCs w:val="32"/>
        </w:rPr>
        <w:t>招标工程量清单编制说明</w:t>
      </w:r>
    </w:p>
    <w:p w:rsidR="00C90708" w:rsidRDefault="00DB38AE">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本工程位于</w:t>
      </w:r>
      <w:r>
        <w:rPr>
          <w:rFonts w:asciiTheme="minorEastAsia" w:hAnsiTheme="minorEastAsia" w:hint="eastAsia"/>
          <w:sz w:val="22"/>
        </w:rPr>
        <w:t>南京大学</w:t>
      </w:r>
      <w:proofErr w:type="gramStart"/>
      <w:r>
        <w:rPr>
          <w:rFonts w:asciiTheme="minorEastAsia" w:hAnsiTheme="minorEastAsia" w:hint="eastAsia"/>
          <w:sz w:val="22"/>
        </w:rPr>
        <w:t>仙</w:t>
      </w:r>
      <w:proofErr w:type="gramEnd"/>
      <w:r>
        <w:rPr>
          <w:rFonts w:asciiTheme="minorEastAsia" w:hAnsiTheme="minorEastAsia" w:hint="eastAsia"/>
          <w:sz w:val="22"/>
        </w:rPr>
        <w:t>林校区</w:t>
      </w:r>
      <w:r>
        <w:rPr>
          <w:rFonts w:asciiTheme="minorEastAsia" w:hAnsiTheme="minorEastAsia" w:hint="eastAsia"/>
          <w:sz w:val="22"/>
        </w:rPr>
        <w:t>，</w:t>
      </w:r>
      <w:r>
        <w:rPr>
          <w:rFonts w:asciiTheme="minorEastAsia" w:hAnsiTheme="minorEastAsia" w:hint="eastAsia"/>
          <w:sz w:val="22"/>
        </w:rPr>
        <w:t>为南京大学</w:t>
      </w:r>
      <w:proofErr w:type="gramStart"/>
      <w:r>
        <w:rPr>
          <w:rFonts w:asciiTheme="minorEastAsia" w:hAnsiTheme="minorEastAsia" w:hint="eastAsia"/>
          <w:sz w:val="22"/>
        </w:rPr>
        <w:t>仙</w:t>
      </w:r>
      <w:proofErr w:type="gramEnd"/>
      <w:r>
        <w:rPr>
          <w:rFonts w:asciiTheme="minorEastAsia" w:hAnsiTheme="minorEastAsia" w:hint="eastAsia"/>
          <w:sz w:val="22"/>
        </w:rPr>
        <w:t>林校区绿化带改造工程，主要为苗木移栽，石材路面拆除、路牙维修，铺设沥青地面。改造面积约为</w:t>
      </w:r>
      <w:r>
        <w:rPr>
          <w:rFonts w:asciiTheme="minorEastAsia" w:hAnsiTheme="minorEastAsia" w:hint="eastAsia"/>
          <w:sz w:val="22"/>
        </w:rPr>
        <w:t>417.59m2</w:t>
      </w:r>
      <w:r>
        <w:rPr>
          <w:rFonts w:asciiTheme="minorEastAsia" w:hAnsiTheme="minorEastAsia" w:hint="eastAsia"/>
          <w:sz w:val="22"/>
        </w:rPr>
        <w:t>，具体详见招标文件及工程量清单。</w:t>
      </w:r>
    </w:p>
    <w:p w:rsidR="00C90708" w:rsidRDefault="00DB38AE">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本次改造内容主要包括苗木移栽，石材路面拆除、路牙维修，铺设沥青地面。</w:t>
      </w:r>
    </w:p>
    <w:p w:rsidR="00C90708" w:rsidRDefault="00DB38AE">
      <w:pPr>
        <w:spacing w:line="360" w:lineRule="auto"/>
        <w:ind w:firstLineChars="200" w:firstLine="442"/>
        <w:rPr>
          <w:rFonts w:asciiTheme="minorEastAsia" w:hAnsiTheme="minorEastAsia"/>
          <w:sz w:val="22"/>
        </w:rPr>
      </w:pPr>
      <w:r>
        <w:rPr>
          <w:rFonts w:asciiTheme="minorEastAsia" w:hAnsiTheme="minorEastAsia" w:hint="eastAsia"/>
          <w:b/>
          <w:sz w:val="22"/>
        </w:rPr>
        <w:t>三、编制依据</w:t>
      </w:r>
    </w:p>
    <w:p w:rsidR="00C90708" w:rsidRDefault="00DB38AE">
      <w:pPr>
        <w:spacing w:line="360" w:lineRule="auto"/>
        <w:ind w:firstLineChars="200" w:firstLine="440"/>
        <w:rPr>
          <w:rFonts w:asciiTheme="minorEastAsia" w:hAnsiTheme="minorEastAsia"/>
          <w:b/>
          <w:color w:val="FF0000"/>
          <w:sz w:val="22"/>
        </w:rPr>
      </w:pPr>
      <w:r>
        <w:rPr>
          <w:rFonts w:asciiTheme="minorEastAsia" w:hAnsiTheme="minorEastAsia" w:hint="eastAsia"/>
          <w:sz w:val="22"/>
        </w:rPr>
        <w:t>1</w:t>
      </w:r>
      <w:r>
        <w:rPr>
          <w:rFonts w:asciiTheme="minorEastAsia" w:hAnsiTheme="minorEastAsia" w:hint="eastAsia"/>
          <w:sz w:val="22"/>
        </w:rPr>
        <w:t>、计量规范：</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①《建设工程工程量清单计价规范》（</w:t>
      </w:r>
      <w:r>
        <w:rPr>
          <w:rFonts w:asciiTheme="minorEastAsia" w:hAnsiTheme="minorEastAsia" w:hint="eastAsia"/>
          <w:sz w:val="22"/>
        </w:rPr>
        <w:t>GB50500-2013</w:t>
      </w:r>
      <w:r>
        <w:rPr>
          <w:rFonts w:asciiTheme="minorEastAsia" w:hAnsiTheme="minorEastAsia" w:hint="eastAsia"/>
          <w:sz w:val="22"/>
        </w:rPr>
        <w:t>）</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②《房屋建筑与装饰工程工程量计算规范》（</w:t>
      </w:r>
      <w:r>
        <w:rPr>
          <w:rFonts w:asciiTheme="minorEastAsia" w:hAnsiTheme="minorEastAsia" w:hint="eastAsia"/>
          <w:sz w:val="22"/>
        </w:rPr>
        <w:t>GB50854-2013</w:t>
      </w:r>
      <w:r>
        <w:rPr>
          <w:rFonts w:asciiTheme="minorEastAsia" w:hAnsiTheme="minorEastAsia" w:hint="eastAsia"/>
          <w:sz w:val="22"/>
        </w:rPr>
        <w:t>）</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③《通用安装工程工程量计算规范》（</w:t>
      </w:r>
      <w:r>
        <w:rPr>
          <w:rFonts w:asciiTheme="minorEastAsia" w:hAnsiTheme="minorEastAsia" w:hint="eastAsia"/>
          <w:sz w:val="22"/>
        </w:rPr>
        <w:t>GB50856-2013</w:t>
      </w:r>
      <w:r>
        <w:rPr>
          <w:rFonts w:asciiTheme="minorEastAsia" w:hAnsiTheme="minorEastAsia" w:hint="eastAsia"/>
          <w:sz w:val="22"/>
        </w:rPr>
        <w:t>）</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④《市政工程工程量计算规范》（</w:t>
      </w:r>
      <w:r>
        <w:rPr>
          <w:rFonts w:asciiTheme="minorEastAsia" w:hAnsiTheme="minorEastAsia" w:hint="eastAsia"/>
          <w:sz w:val="22"/>
        </w:rPr>
        <w:t>GB50857-2013</w:t>
      </w:r>
      <w:r>
        <w:rPr>
          <w:rFonts w:asciiTheme="minorEastAsia" w:hAnsiTheme="minorEastAsia" w:hint="eastAsia"/>
          <w:sz w:val="22"/>
        </w:rPr>
        <w:t>）</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⑤《园林绿化工程工程量计算规范》（</w:t>
      </w:r>
      <w:r>
        <w:rPr>
          <w:rFonts w:asciiTheme="minorEastAsia" w:hAnsiTheme="minorEastAsia" w:hint="eastAsia"/>
          <w:sz w:val="22"/>
        </w:rPr>
        <w:tab/>
        <w:t>GB50858-2013</w:t>
      </w:r>
      <w:r>
        <w:rPr>
          <w:rFonts w:asciiTheme="minorEastAsia" w:hAnsiTheme="minorEastAsia" w:hint="eastAsia"/>
          <w:sz w:val="22"/>
        </w:rPr>
        <w:t>）</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⑥现行相关补充或调整文件</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、与本工程项目有关的标准、施工规范与验收规范。</w:t>
      </w:r>
    </w:p>
    <w:p w:rsidR="00C90708" w:rsidRDefault="00DB38AE">
      <w:pPr>
        <w:spacing w:line="360" w:lineRule="auto"/>
        <w:ind w:firstLineChars="200" w:firstLine="442"/>
        <w:rPr>
          <w:rFonts w:asciiTheme="minorEastAsia" w:hAnsiTheme="minorEastAsia"/>
          <w:sz w:val="22"/>
        </w:rPr>
      </w:pPr>
      <w:r>
        <w:rPr>
          <w:rFonts w:asciiTheme="minorEastAsia" w:hAnsiTheme="minorEastAsia" w:hint="eastAsia"/>
          <w:b/>
          <w:sz w:val="22"/>
        </w:rPr>
        <w:t>四、取费标准</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、《省住房城乡建设厅关于建筑业实施营改增后江苏省建设工程计价依据调整的通知》</w:t>
      </w:r>
      <w:r>
        <w:rPr>
          <w:rFonts w:asciiTheme="minorEastAsia" w:hAnsiTheme="minorEastAsia" w:hint="eastAsia"/>
          <w:sz w:val="22"/>
        </w:rPr>
        <w:t xml:space="preserve"> </w:t>
      </w:r>
      <w:r>
        <w:rPr>
          <w:rFonts w:asciiTheme="minorEastAsia" w:hAnsiTheme="minorEastAsia" w:hint="eastAsia"/>
          <w:sz w:val="22"/>
        </w:rPr>
        <w:t>苏建价（</w:t>
      </w:r>
      <w:r>
        <w:rPr>
          <w:rFonts w:asciiTheme="minorEastAsia" w:hAnsiTheme="minorEastAsia" w:hint="eastAsia"/>
          <w:sz w:val="22"/>
        </w:rPr>
        <w:t>2016</w:t>
      </w:r>
      <w:r>
        <w:rPr>
          <w:rFonts w:asciiTheme="minorEastAsia" w:hAnsiTheme="minorEastAsia" w:hint="eastAsia"/>
          <w:sz w:val="22"/>
        </w:rPr>
        <w:t>）</w:t>
      </w:r>
      <w:r>
        <w:rPr>
          <w:rFonts w:asciiTheme="minorEastAsia" w:hAnsiTheme="minorEastAsia" w:hint="eastAsia"/>
          <w:sz w:val="22"/>
        </w:rPr>
        <w:t>154</w:t>
      </w:r>
      <w:r>
        <w:rPr>
          <w:rFonts w:asciiTheme="minorEastAsia" w:hAnsiTheme="minorEastAsia" w:hint="eastAsia"/>
          <w:sz w:val="22"/>
        </w:rPr>
        <w:t>号文及相关附件。</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、《省住房城乡建设厅关于建筑业增值税计价政策调整的通知》苏建函价（</w:t>
      </w:r>
      <w:r>
        <w:rPr>
          <w:rFonts w:asciiTheme="minorEastAsia" w:hAnsiTheme="minorEastAsia" w:hint="eastAsia"/>
          <w:sz w:val="22"/>
        </w:rPr>
        <w:t>2019</w:t>
      </w:r>
      <w:r>
        <w:rPr>
          <w:rFonts w:asciiTheme="minorEastAsia" w:hAnsiTheme="minorEastAsia" w:hint="eastAsia"/>
          <w:sz w:val="22"/>
        </w:rPr>
        <w:t>）</w:t>
      </w:r>
      <w:r>
        <w:rPr>
          <w:rFonts w:asciiTheme="minorEastAsia" w:hAnsiTheme="minorEastAsia" w:hint="eastAsia"/>
          <w:sz w:val="22"/>
        </w:rPr>
        <w:t>178</w:t>
      </w:r>
      <w:r>
        <w:rPr>
          <w:rFonts w:asciiTheme="minorEastAsia" w:hAnsiTheme="minorEastAsia" w:hint="eastAsia"/>
          <w:sz w:val="22"/>
        </w:rPr>
        <w:t>号文。</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、安全文明施工措施费计</w:t>
      </w:r>
      <w:r>
        <w:rPr>
          <w:rFonts w:asciiTheme="minorEastAsia" w:hAnsiTheme="minorEastAsia" w:hint="eastAsia"/>
          <w:sz w:val="22"/>
        </w:rPr>
        <w:t>取基本费和扬尘污染防治增加费。</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、《省住房城乡建设厅关于建筑工人实名制费用计取方法的公告》〔</w:t>
      </w:r>
      <w:r>
        <w:rPr>
          <w:rFonts w:asciiTheme="minorEastAsia" w:hAnsiTheme="minorEastAsia" w:hint="eastAsia"/>
          <w:sz w:val="22"/>
        </w:rPr>
        <w:t>2019</w:t>
      </w:r>
      <w:r>
        <w:rPr>
          <w:rFonts w:asciiTheme="minorEastAsia" w:hAnsiTheme="minorEastAsia" w:hint="eastAsia"/>
          <w:sz w:val="22"/>
        </w:rPr>
        <w:t>〕第</w:t>
      </w:r>
      <w:r>
        <w:rPr>
          <w:rFonts w:asciiTheme="minorEastAsia" w:hAnsiTheme="minorEastAsia" w:hint="eastAsia"/>
          <w:sz w:val="22"/>
        </w:rPr>
        <w:t>19</w:t>
      </w:r>
      <w:r>
        <w:rPr>
          <w:rFonts w:asciiTheme="minorEastAsia" w:hAnsiTheme="minorEastAsia" w:hint="eastAsia"/>
          <w:sz w:val="22"/>
        </w:rPr>
        <w:t>号</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、依据《建设工程计价设备材料划分标准》（</w:t>
      </w:r>
      <w:r>
        <w:rPr>
          <w:rFonts w:asciiTheme="minorEastAsia" w:hAnsiTheme="minorEastAsia" w:hint="eastAsia"/>
          <w:sz w:val="22"/>
        </w:rPr>
        <w:t>GB/T50531-2009</w:t>
      </w:r>
      <w:r>
        <w:rPr>
          <w:rFonts w:asciiTheme="minorEastAsia" w:hAnsiTheme="minorEastAsia" w:hint="eastAsia"/>
          <w:sz w:val="22"/>
        </w:rPr>
        <w:t>）划分的设备以设备形式计入且不计取总价措施费及</w:t>
      </w:r>
      <w:proofErr w:type="gramStart"/>
      <w:r>
        <w:rPr>
          <w:rFonts w:asciiTheme="minorEastAsia" w:hAnsiTheme="minorEastAsia" w:hint="eastAsia"/>
          <w:sz w:val="22"/>
        </w:rPr>
        <w:t>规</w:t>
      </w:r>
      <w:proofErr w:type="gramEnd"/>
      <w:r>
        <w:rPr>
          <w:rFonts w:asciiTheme="minorEastAsia" w:hAnsiTheme="minorEastAsia" w:hint="eastAsia"/>
          <w:sz w:val="22"/>
        </w:rPr>
        <w:t>费。</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6</w:t>
      </w:r>
      <w:r>
        <w:rPr>
          <w:rFonts w:asciiTheme="minorEastAsia" w:hAnsiTheme="minorEastAsia" w:hint="eastAsia"/>
          <w:sz w:val="22"/>
        </w:rPr>
        <w:t>、政策性文件及报价参考执行投标截止日前省市建委造价有关文件，投标截止日后的省市建委造价文件不予执行。</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7</w:t>
      </w:r>
      <w:r>
        <w:rPr>
          <w:rFonts w:asciiTheme="minorEastAsia" w:hAnsiTheme="minorEastAsia" w:hint="eastAsia"/>
          <w:sz w:val="22"/>
        </w:rPr>
        <w:t>、人工工资参考江苏省建设工程人工工资指导价自主报价，其它费用按照省市建委发布的有关文件及政策规定等执行，报价参考执行投标截止日前省建设厅、市建委造价有关文件。</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lastRenderedPageBreak/>
        <w:t>8</w:t>
      </w:r>
      <w:r>
        <w:rPr>
          <w:rFonts w:asciiTheme="minorEastAsia" w:hAnsiTheme="minorEastAsia" w:hint="eastAsia"/>
          <w:sz w:val="22"/>
        </w:rPr>
        <w:t>、暂列</w:t>
      </w:r>
      <w:r>
        <w:rPr>
          <w:rFonts w:asciiTheme="minorEastAsia" w:hAnsiTheme="minorEastAsia" w:hint="eastAsia"/>
          <w:sz w:val="22"/>
        </w:rPr>
        <w:t>金额及暂估价：</w:t>
      </w:r>
    </w:p>
    <w:p w:rsidR="00C90708" w:rsidRDefault="00DB38AE">
      <w:pPr>
        <w:spacing w:line="360" w:lineRule="auto"/>
        <w:ind w:firstLineChars="200" w:firstLine="440"/>
        <w:rPr>
          <w:rFonts w:asciiTheme="minorEastAsia" w:hAnsiTheme="minorEastAsia"/>
          <w:b/>
          <w:sz w:val="22"/>
        </w:rPr>
      </w:pPr>
      <w:r>
        <w:rPr>
          <w:rFonts w:asciiTheme="minorEastAsia" w:hAnsiTheme="minorEastAsia" w:hint="eastAsia"/>
          <w:sz w:val="22"/>
        </w:rPr>
        <w:t>（</w:t>
      </w:r>
      <w:r>
        <w:rPr>
          <w:rFonts w:asciiTheme="minorEastAsia" w:hAnsiTheme="minorEastAsia" w:hint="eastAsia"/>
          <w:sz w:val="22"/>
        </w:rPr>
        <w:t>1</w:t>
      </w:r>
      <w:r>
        <w:rPr>
          <w:rFonts w:asciiTheme="minorEastAsia" w:hAnsiTheme="minorEastAsia" w:hint="eastAsia"/>
          <w:sz w:val="22"/>
        </w:rPr>
        <w:t>）暂列金额：有。</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）暂估价：无。</w:t>
      </w:r>
    </w:p>
    <w:p w:rsidR="00C90708" w:rsidRDefault="00DB38AE">
      <w:pPr>
        <w:spacing w:line="360" w:lineRule="auto"/>
        <w:ind w:firstLineChars="200" w:firstLine="442"/>
        <w:rPr>
          <w:rFonts w:asciiTheme="minorEastAsia" w:hAnsiTheme="minorEastAsia"/>
          <w:sz w:val="22"/>
        </w:rPr>
      </w:pPr>
      <w:r>
        <w:rPr>
          <w:rFonts w:asciiTheme="minorEastAsia" w:hAnsiTheme="minorEastAsia" w:hint="eastAsia"/>
          <w:b/>
          <w:sz w:val="22"/>
        </w:rPr>
        <w:t>五、图纸及工程量计算中的相关说明</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、通用部分</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1</w:t>
      </w:r>
      <w:r>
        <w:rPr>
          <w:rFonts w:asciiTheme="minorEastAsia" w:hAnsiTheme="minorEastAsia" w:hint="eastAsia"/>
          <w:sz w:val="22"/>
        </w:rPr>
        <w:t>）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、土建部分</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1</w:t>
      </w:r>
      <w:r>
        <w:rPr>
          <w:rFonts w:asciiTheme="minorEastAsia" w:hAnsiTheme="minorEastAsia" w:hint="eastAsia"/>
          <w:sz w:val="22"/>
        </w:rPr>
        <w:t>）本工程砂浆按预拌砂浆考虑，</w:t>
      </w:r>
      <w:proofErr w:type="gramStart"/>
      <w:r>
        <w:rPr>
          <w:rFonts w:asciiTheme="minorEastAsia" w:hAnsiTheme="minorEastAsia" w:hint="eastAsia"/>
          <w:sz w:val="22"/>
        </w:rPr>
        <w:t>砼</w:t>
      </w:r>
      <w:proofErr w:type="gramEnd"/>
      <w:r>
        <w:rPr>
          <w:rFonts w:asciiTheme="minorEastAsia" w:hAnsiTheme="minorEastAsia" w:hint="eastAsia"/>
          <w:sz w:val="22"/>
        </w:rPr>
        <w:t>按商品</w:t>
      </w:r>
      <w:proofErr w:type="gramStart"/>
      <w:r>
        <w:rPr>
          <w:rFonts w:asciiTheme="minorEastAsia" w:hAnsiTheme="minorEastAsia" w:hint="eastAsia"/>
          <w:sz w:val="22"/>
        </w:rPr>
        <w:t>砼</w:t>
      </w:r>
      <w:proofErr w:type="gramEnd"/>
      <w:r>
        <w:rPr>
          <w:rFonts w:asciiTheme="minorEastAsia" w:hAnsiTheme="minorEastAsia" w:hint="eastAsia"/>
          <w:sz w:val="22"/>
        </w:rPr>
        <w:t>考虑，现场采用泵送还是非泵送由投标单位自行考虑。</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w:t>
      </w:r>
      <w:r>
        <w:rPr>
          <w:rFonts w:asciiTheme="minorEastAsia" w:hAnsiTheme="minorEastAsia" w:hint="eastAsia"/>
          <w:sz w:val="22"/>
        </w:rPr>
        <w:t>草坪灯移位投标人需综合考虑新安装位置灯基础，走线等费用综合考虑计入清单。</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3</w:t>
      </w:r>
      <w:r>
        <w:rPr>
          <w:rFonts w:asciiTheme="minorEastAsia" w:hAnsiTheme="minorEastAsia" w:hint="eastAsia"/>
          <w:sz w:val="22"/>
        </w:rPr>
        <w:t>）</w:t>
      </w:r>
      <w:r>
        <w:rPr>
          <w:rFonts w:asciiTheme="minorEastAsia" w:hAnsiTheme="minorEastAsia" w:hint="eastAsia"/>
          <w:sz w:val="22"/>
        </w:rPr>
        <w:t>井圈位置调整，投标人需结合现场路面高度，综合考虑费用计入清单。</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4</w:t>
      </w:r>
      <w:r>
        <w:rPr>
          <w:rFonts w:asciiTheme="minorEastAsia" w:hAnsiTheme="minorEastAsia" w:hint="eastAsia"/>
          <w:sz w:val="22"/>
        </w:rPr>
        <w:t>）</w:t>
      </w:r>
      <w:r>
        <w:rPr>
          <w:rFonts w:asciiTheme="minorEastAsia" w:hAnsiTheme="minorEastAsia" w:hint="eastAsia"/>
          <w:sz w:val="22"/>
        </w:rPr>
        <w:t>路牙石保护性拆除，不得损坏，</w:t>
      </w:r>
      <w:proofErr w:type="gramStart"/>
      <w:r>
        <w:rPr>
          <w:rFonts w:asciiTheme="minorEastAsia" w:hAnsiTheme="minorEastAsia" w:hint="eastAsia"/>
          <w:sz w:val="22"/>
        </w:rPr>
        <w:t>利旧重新安装</w:t>
      </w:r>
      <w:proofErr w:type="gramEnd"/>
      <w:r>
        <w:rPr>
          <w:rFonts w:asciiTheme="minorEastAsia" w:hAnsiTheme="minorEastAsia" w:hint="eastAsia"/>
          <w:sz w:val="22"/>
        </w:rPr>
        <w:t>。</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5</w:t>
      </w:r>
      <w:r>
        <w:rPr>
          <w:rFonts w:asciiTheme="minorEastAsia" w:hAnsiTheme="minorEastAsia" w:hint="eastAsia"/>
          <w:sz w:val="22"/>
        </w:rPr>
        <w:t>）</w:t>
      </w:r>
      <w:r>
        <w:rPr>
          <w:rFonts w:asciiTheme="minorEastAsia" w:hAnsiTheme="minorEastAsia" w:hint="eastAsia"/>
          <w:sz w:val="22"/>
        </w:rPr>
        <w:t>苗木移栽包含苗木起挖、运输、栽植、养护等费用，养护标准</w:t>
      </w:r>
      <w:r>
        <w:rPr>
          <w:rFonts w:asciiTheme="minorEastAsia" w:hAnsiTheme="minorEastAsia" w:hint="eastAsia"/>
          <w:sz w:val="22"/>
        </w:rPr>
        <w:t>:</w:t>
      </w:r>
      <w:r>
        <w:rPr>
          <w:rFonts w:asciiTheme="minorEastAsia" w:hAnsiTheme="minorEastAsia" w:hint="eastAsia"/>
          <w:sz w:val="22"/>
        </w:rPr>
        <w:t>三级养护，养护期两年。</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6</w:t>
      </w:r>
      <w:r>
        <w:rPr>
          <w:rFonts w:asciiTheme="minorEastAsia" w:hAnsiTheme="minorEastAsia" w:hint="eastAsia"/>
          <w:sz w:val="22"/>
        </w:rPr>
        <w:t>）本项目施工不得损坏相邻建筑部位，如有损坏，投标人负责原样修复。投标人需综合考虑报价，计入本次清单</w:t>
      </w:r>
      <w:r>
        <w:rPr>
          <w:rFonts w:asciiTheme="minorEastAsia" w:hAnsiTheme="minorEastAsia" w:hint="eastAsia"/>
          <w:sz w:val="22"/>
        </w:rPr>
        <w:t>。</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7</w:t>
      </w:r>
      <w:r>
        <w:rPr>
          <w:rFonts w:asciiTheme="minorEastAsia" w:hAnsiTheme="minorEastAsia" w:hint="eastAsia"/>
          <w:sz w:val="22"/>
        </w:rPr>
        <w:t>）</w:t>
      </w:r>
      <w:r>
        <w:rPr>
          <w:rFonts w:asciiTheme="minorEastAsia" w:hAnsiTheme="minorEastAsia" w:hint="eastAsia"/>
          <w:sz w:val="22"/>
        </w:rPr>
        <w:t>投标人在投标报价中应充分考虑施工期间，学校的正常教学使用给投标人带来的临时停工和工效降低的影响，该情况产生的费用应由投标人综合考虑在投标报价中，结算时不再调整。</w:t>
      </w:r>
    </w:p>
    <w:p w:rsidR="00C90708" w:rsidRDefault="00DB38AE">
      <w:pPr>
        <w:spacing w:line="360" w:lineRule="auto"/>
        <w:ind w:firstLineChars="200" w:firstLine="442"/>
        <w:rPr>
          <w:rFonts w:asciiTheme="minorEastAsia" w:hAnsiTheme="minorEastAsia"/>
          <w:b/>
          <w:sz w:val="22"/>
        </w:rPr>
      </w:pPr>
      <w:r>
        <w:rPr>
          <w:rFonts w:asciiTheme="minorEastAsia" w:hAnsiTheme="minorEastAsia" w:hint="eastAsia"/>
          <w:b/>
          <w:sz w:val="22"/>
        </w:rPr>
        <w:t>六、主要材料设备</w:t>
      </w:r>
    </w:p>
    <w:p w:rsidR="00C90708" w:rsidRDefault="00DB38AE">
      <w:pPr>
        <w:spacing w:line="360" w:lineRule="auto"/>
        <w:ind w:firstLineChars="200" w:firstLine="442"/>
        <w:rPr>
          <w:rFonts w:asciiTheme="minorEastAsia" w:hAnsiTheme="minorEastAsia"/>
          <w:b/>
          <w:sz w:val="22"/>
        </w:rPr>
      </w:pPr>
      <w:r>
        <w:rPr>
          <w:rFonts w:asciiTheme="minorEastAsia" w:hAnsiTheme="minorEastAsia" w:hint="eastAsia"/>
          <w:b/>
          <w:sz w:val="22"/>
        </w:rPr>
        <w:t>（一）投标人负责采购</w:t>
      </w:r>
      <w:r>
        <w:rPr>
          <w:rFonts w:asciiTheme="minorEastAsia" w:hAnsiTheme="minorEastAsia" w:hint="eastAsia"/>
          <w:b/>
          <w:sz w:val="22"/>
        </w:rPr>
        <w:t>的主要材料设备</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、本项目主要材料品牌推荐表如下：</w:t>
      </w:r>
    </w:p>
    <w:p w:rsidR="00C90708" w:rsidRDefault="00DB38AE">
      <w:pPr>
        <w:spacing w:line="360" w:lineRule="auto"/>
        <w:ind w:firstLineChars="200" w:firstLine="440"/>
        <w:rPr>
          <w:rFonts w:asciiTheme="minorEastAsia" w:hAnsiTheme="minorEastAsia" w:hint="eastAsia"/>
          <w:sz w:val="22"/>
        </w:rPr>
      </w:pPr>
      <w:r>
        <w:rPr>
          <w:rFonts w:asciiTheme="minorEastAsia" w:hAnsiTheme="minorEastAsia" w:hint="eastAsia"/>
          <w:sz w:val="22"/>
        </w:rPr>
        <w:t>2</w:t>
      </w:r>
      <w:r>
        <w:rPr>
          <w:rFonts w:asciiTheme="minorEastAsia" w:hAnsiTheme="minorEastAsia" w:hint="eastAsia"/>
          <w:sz w:val="22"/>
        </w:rPr>
        <w:t>、主要材料技术标准和质量要求如下：</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680"/>
        <w:gridCol w:w="1835"/>
        <w:gridCol w:w="3913"/>
        <w:gridCol w:w="1613"/>
      </w:tblGrid>
      <w:tr w:rsidR="0021157B" w:rsidRPr="00B24D85" w:rsidTr="009B0A72">
        <w:trPr>
          <w:trHeight w:hRule="exact" w:val="397"/>
          <w:jc w:val="center"/>
        </w:trPr>
        <w:tc>
          <w:tcPr>
            <w:tcW w:w="675" w:type="dxa"/>
            <w:vAlign w:val="center"/>
          </w:tcPr>
          <w:p w:rsidR="0021157B" w:rsidRPr="00A9516E" w:rsidRDefault="0021157B" w:rsidP="009B0A72">
            <w:pPr>
              <w:jc w:val="center"/>
              <w:rPr>
                <w:rFonts w:ascii="宋体" w:hAnsi="宋体"/>
                <w:szCs w:val="21"/>
              </w:rPr>
            </w:pPr>
            <w:r w:rsidRPr="00A9516E">
              <w:rPr>
                <w:rFonts w:ascii="宋体" w:hAnsi="宋体" w:hint="eastAsia"/>
                <w:szCs w:val="21"/>
              </w:rPr>
              <w:lastRenderedPageBreak/>
              <w:t>序号</w:t>
            </w:r>
          </w:p>
        </w:tc>
        <w:tc>
          <w:tcPr>
            <w:tcW w:w="1680" w:type="dxa"/>
            <w:vAlign w:val="center"/>
          </w:tcPr>
          <w:p w:rsidR="0021157B" w:rsidRPr="00A9516E" w:rsidRDefault="0021157B" w:rsidP="009B0A72">
            <w:pPr>
              <w:jc w:val="center"/>
              <w:rPr>
                <w:rFonts w:ascii="宋体" w:hAnsi="宋体"/>
                <w:szCs w:val="21"/>
              </w:rPr>
            </w:pPr>
            <w:r w:rsidRPr="00A9516E">
              <w:rPr>
                <w:rFonts w:ascii="宋体" w:hAnsi="宋体" w:hint="eastAsia"/>
                <w:szCs w:val="21"/>
              </w:rPr>
              <w:t>材料设备名称</w:t>
            </w:r>
          </w:p>
        </w:tc>
        <w:tc>
          <w:tcPr>
            <w:tcW w:w="1835" w:type="dxa"/>
            <w:vAlign w:val="center"/>
          </w:tcPr>
          <w:p w:rsidR="0021157B" w:rsidRPr="00A9516E" w:rsidRDefault="0021157B" w:rsidP="009B0A72">
            <w:pPr>
              <w:jc w:val="center"/>
              <w:rPr>
                <w:rFonts w:ascii="宋体" w:hAnsi="宋体"/>
                <w:szCs w:val="21"/>
              </w:rPr>
            </w:pPr>
            <w:r w:rsidRPr="00A9516E">
              <w:rPr>
                <w:rFonts w:ascii="宋体" w:hAnsi="宋体" w:hint="eastAsia"/>
                <w:szCs w:val="21"/>
              </w:rPr>
              <w:t>推荐品牌</w:t>
            </w:r>
          </w:p>
        </w:tc>
        <w:tc>
          <w:tcPr>
            <w:tcW w:w="3913" w:type="dxa"/>
            <w:vAlign w:val="center"/>
          </w:tcPr>
          <w:p w:rsidR="0021157B" w:rsidRPr="00A9516E" w:rsidRDefault="0021157B" w:rsidP="009B0A72">
            <w:pPr>
              <w:jc w:val="center"/>
              <w:rPr>
                <w:rFonts w:ascii="宋体" w:hAnsi="宋体"/>
                <w:szCs w:val="21"/>
              </w:rPr>
            </w:pPr>
            <w:r w:rsidRPr="00A9516E">
              <w:rPr>
                <w:rFonts w:ascii="宋体" w:hAnsi="宋体" w:hint="eastAsia"/>
                <w:szCs w:val="21"/>
              </w:rPr>
              <w:t>生产商全称</w:t>
            </w:r>
          </w:p>
        </w:tc>
        <w:tc>
          <w:tcPr>
            <w:tcW w:w="1613" w:type="dxa"/>
            <w:vAlign w:val="center"/>
          </w:tcPr>
          <w:p w:rsidR="0021157B" w:rsidRPr="00A9516E" w:rsidRDefault="0021157B" w:rsidP="009B0A72">
            <w:pPr>
              <w:jc w:val="center"/>
              <w:rPr>
                <w:rFonts w:ascii="宋体" w:hAnsi="宋体"/>
                <w:szCs w:val="21"/>
              </w:rPr>
            </w:pPr>
            <w:r w:rsidRPr="00A9516E">
              <w:rPr>
                <w:rFonts w:ascii="宋体" w:hAnsi="宋体" w:hint="eastAsia"/>
                <w:szCs w:val="21"/>
              </w:rPr>
              <w:t>备注</w:t>
            </w:r>
          </w:p>
        </w:tc>
      </w:tr>
      <w:tr w:rsidR="0021157B" w:rsidRPr="00B24D85" w:rsidTr="009B0A72">
        <w:trPr>
          <w:trHeight w:hRule="exact" w:val="397"/>
          <w:jc w:val="center"/>
        </w:trPr>
        <w:tc>
          <w:tcPr>
            <w:tcW w:w="675" w:type="dxa"/>
            <w:vMerge w:val="restart"/>
            <w:vAlign w:val="center"/>
          </w:tcPr>
          <w:p w:rsidR="0021157B" w:rsidRPr="00A9516E" w:rsidRDefault="0021157B" w:rsidP="009B0A72">
            <w:pPr>
              <w:jc w:val="center"/>
              <w:rPr>
                <w:rFonts w:ascii="宋体" w:hAnsi="宋体"/>
                <w:szCs w:val="21"/>
              </w:rPr>
            </w:pPr>
            <w:r w:rsidRPr="00A9516E">
              <w:rPr>
                <w:rFonts w:ascii="宋体" w:hAnsi="宋体" w:hint="eastAsia"/>
                <w:szCs w:val="21"/>
              </w:rPr>
              <w:t>1</w:t>
            </w:r>
          </w:p>
        </w:tc>
        <w:tc>
          <w:tcPr>
            <w:tcW w:w="1680" w:type="dxa"/>
            <w:vMerge w:val="restart"/>
            <w:vAlign w:val="center"/>
          </w:tcPr>
          <w:p w:rsidR="0021157B" w:rsidRPr="00A9516E" w:rsidRDefault="0021157B" w:rsidP="009B0A72">
            <w:pPr>
              <w:jc w:val="center"/>
              <w:rPr>
                <w:rFonts w:ascii="宋体" w:hAnsi="宋体"/>
                <w:szCs w:val="21"/>
              </w:rPr>
            </w:pPr>
            <w:r>
              <w:rPr>
                <w:rFonts w:ascii="宋体" w:hAnsi="宋体" w:hint="eastAsia"/>
                <w:szCs w:val="21"/>
              </w:rPr>
              <w:t>钢筋</w:t>
            </w:r>
          </w:p>
        </w:tc>
        <w:tc>
          <w:tcPr>
            <w:tcW w:w="1835" w:type="dxa"/>
            <w:vAlign w:val="center"/>
          </w:tcPr>
          <w:p w:rsidR="0021157B" w:rsidRDefault="0021157B" w:rsidP="009B0A72">
            <w:pPr>
              <w:jc w:val="center"/>
              <w:rPr>
                <w:rFonts w:ascii="宋体" w:eastAsia="宋体" w:hAnsi="宋体" w:cs="宋体"/>
                <w:sz w:val="20"/>
                <w:szCs w:val="20"/>
              </w:rPr>
            </w:pPr>
            <w:r>
              <w:rPr>
                <w:rFonts w:hint="eastAsia"/>
                <w:sz w:val="20"/>
                <w:szCs w:val="20"/>
              </w:rPr>
              <w:t>马钢</w:t>
            </w:r>
          </w:p>
        </w:tc>
        <w:tc>
          <w:tcPr>
            <w:tcW w:w="3913" w:type="dxa"/>
            <w:vAlign w:val="center"/>
          </w:tcPr>
          <w:p w:rsidR="0021157B" w:rsidRPr="00DA615D" w:rsidRDefault="0021157B" w:rsidP="009B0A72">
            <w:pPr>
              <w:jc w:val="center"/>
              <w:rPr>
                <w:rFonts w:ascii="Calibri" w:eastAsia="宋体" w:hAnsi="Calibri" w:cs="Times New Roman"/>
                <w:sz w:val="20"/>
                <w:szCs w:val="20"/>
              </w:rPr>
            </w:pPr>
            <w:hyperlink r:id="rId7" w:history="1">
              <w:r w:rsidRPr="00DA615D">
                <w:rPr>
                  <w:rFonts w:hint="eastAsia"/>
                </w:rPr>
                <w:t>马鞍山钢铁股份有限公司</w:t>
              </w:r>
            </w:hyperlink>
          </w:p>
        </w:tc>
        <w:tc>
          <w:tcPr>
            <w:tcW w:w="1613" w:type="dxa"/>
            <w:vAlign w:val="center"/>
          </w:tcPr>
          <w:p w:rsidR="0021157B" w:rsidRPr="00A9516E" w:rsidRDefault="0021157B" w:rsidP="009B0A72">
            <w:pPr>
              <w:widowControl/>
              <w:jc w:val="center"/>
              <w:textAlignment w:val="center"/>
              <w:rPr>
                <w:rFonts w:ascii="宋体" w:hAnsi="宋体"/>
                <w:szCs w:val="21"/>
              </w:rPr>
            </w:pPr>
          </w:p>
        </w:tc>
      </w:tr>
      <w:tr w:rsidR="0021157B" w:rsidRPr="00B24D85" w:rsidTr="009B0A72">
        <w:trPr>
          <w:trHeight w:hRule="exact" w:val="397"/>
          <w:jc w:val="center"/>
        </w:trPr>
        <w:tc>
          <w:tcPr>
            <w:tcW w:w="675" w:type="dxa"/>
            <w:vMerge/>
            <w:vAlign w:val="center"/>
          </w:tcPr>
          <w:p w:rsidR="0021157B" w:rsidRPr="00A9516E" w:rsidRDefault="0021157B" w:rsidP="009B0A72">
            <w:pPr>
              <w:jc w:val="center"/>
              <w:rPr>
                <w:rFonts w:ascii="宋体" w:hAnsi="宋体"/>
                <w:szCs w:val="21"/>
              </w:rPr>
            </w:pPr>
          </w:p>
        </w:tc>
        <w:tc>
          <w:tcPr>
            <w:tcW w:w="1680" w:type="dxa"/>
            <w:vMerge/>
            <w:vAlign w:val="center"/>
          </w:tcPr>
          <w:p w:rsidR="0021157B" w:rsidRPr="00A9516E" w:rsidRDefault="0021157B" w:rsidP="009B0A72">
            <w:pPr>
              <w:jc w:val="center"/>
              <w:rPr>
                <w:rFonts w:ascii="宋体" w:hAnsi="宋体"/>
                <w:szCs w:val="21"/>
              </w:rPr>
            </w:pPr>
          </w:p>
        </w:tc>
        <w:tc>
          <w:tcPr>
            <w:tcW w:w="1835" w:type="dxa"/>
            <w:vAlign w:val="center"/>
          </w:tcPr>
          <w:p w:rsidR="0021157B" w:rsidRDefault="0021157B" w:rsidP="009B0A72">
            <w:pPr>
              <w:jc w:val="center"/>
              <w:rPr>
                <w:rFonts w:ascii="宋体" w:eastAsia="宋体" w:hAnsi="宋体" w:cs="宋体"/>
                <w:sz w:val="20"/>
                <w:szCs w:val="20"/>
              </w:rPr>
            </w:pPr>
            <w:r>
              <w:rPr>
                <w:rFonts w:hint="eastAsia"/>
                <w:sz w:val="20"/>
                <w:szCs w:val="20"/>
              </w:rPr>
              <w:t>沙钢</w:t>
            </w:r>
          </w:p>
        </w:tc>
        <w:tc>
          <w:tcPr>
            <w:tcW w:w="3913" w:type="dxa"/>
            <w:vAlign w:val="center"/>
          </w:tcPr>
          <w:p w:rsidR="0021157B" w:rsidRPr="00DA615D" w:rsidRDefault="0021157B" w:rsidP="009B0A72">
            <w:pPr>
              <w:jc w:val="center"/>
              <w:rPr>
                <w:rFonts w:ascii="Calibri" w:eastAsia="宋体" w:hAnsi="Calibri" w:cs="Times New Roman"/>
                <w:sz w:val="20"/>
                <w:szCs w:val="20"/>
              </w:rPr>
            </w:pPr>
            <w:hyperlink r:id="rId8" w:history="1">
              <w:r w:rsidRPr="00DA615D">
                <w:rPr>
                  <w:rFonts w:hint="eastAsia"/>
                </w:rPr>
                <w:t>江苏沙钢集团有限公司</w:t>
              </w:r>
            </w:hyperlink>
          </w:p>
        </w:tc>
        <w:tc>
          <w:tcPr>
            <w:tcW w:w="1613" w:type="dxa"/>
            <w:vAlign w:val="center"/>
          </w:tcPr>
          <w:p w:rsidR="0021157B" w:rsidRPr="00A9516E" w:rsidRDefault="0021157B" w:rsidP="009B0A72">
            <w:pPr>
              <w:widowControl/>
              <w:jc w:val="center"/>
              <w:textAlignment w:val="center"/>
              <w:rPr>
                <w:rFonts w:ascii="宋体" w:hAnsi="宋体"/>
                <w:szCs w:val="21"/>
              </w:rPr>
            </w:pPr>
          </w:p>
        </w:tc>
      </w:tr>
      <w:tr w:rsidR="0021157B" w:rsidRPr="00B24D85" w:rsidTr="009B0A72">
        <w:trPr>
          <w:trHeight w:hRule="exact" w:val="397"/>
          <w:jc w:val="center"/>
        </w:trPr>
        <w:tc>
          <w:tcPr>
            <w:tcW w:w="675" w:type="dxa"/>
            <w:vMerge/>
            <w:vAlign w:val="center"/>
          </w:tcPr>
          <w:p w:rsidR="0021157B" w:rsidRPr="00A9516E" w:rsidRDefault="0021157B" w:rsidP="009B0A72">
            <w:pPr>
              <w:jc w:val="center"/>
              <w:rPr>
                <w:rFonts w:ascii="宋体" w:hAnsi="宋体"/>
                <w:szCs w:val="21"/>
              </w:rPr>
            </w:pPr>
          </w:p>
        </w:tc>
        <w:tc>
          <w:tcPr>
            <w:tcW w:w="1680" w:type="dxa"/>
            <w:vMerge/>
            <w:vAlign w:val="center"/>
          </w:tcPr>
          <w:p w:rsidR="0021157B" w:rsidRPr="00A9516E" w:rsidRDefault="0021157B" w:rsidP="009B0A72">
            <w:pPr>
              <w:jc w:val="center"/>
              <w:rPr>
                <w:rFonts w:ascii="宋体" w:hAnsi="宋体"/>
                <w:szCs w:val="21"/>
              </w:rPr>
            </w:pPr>
          </w:p>
        </w:tc>
        <w:tc>
          <w:tcPr>
            <w:tcW w:w="1835" w:type="dxa"/>
            <w:vAlign w:val="center"/>
          </w:tcPr>
          <w:p w:rsidR="0021157B" w:rsidRDefault="0021157B" w:rsidP="009B0A72">
            <w:pPr>
              <w:jc w:val="center"/>
              <w:rPr>
                <w:rFonts w:ascii="宋体" w:eastAsia="宋体" w:hAnsi="宋体" w:cs="宋体"/>
                <w:sz w:val="20"/>
                <w:szCs w:val="20"/>
              </w:rPr>
            </w:pPr>
            <w:r>
              <w:rPr>
                <w:rFonts w:hint="eastAsia"/>
                <w:sz w:val="20"/>
                <w:szCs w:val="20"/>
              </w:rPr>
              <w:t>南钢</w:t>
            </w:r>
          </w:p>
        </w:tc>
        <w:tc>
          <w:tcPr>
            <w:tcW w:w="3913" w:type="dxa"/>
            <w:vAlign w:val="center"/>
          </w:tcPr>
          <w:p w:rsidR="0021157B" w:rsidRPr="00DA615D" w:rsidRDefault="0021157B" w:rsidP="009B0A72">
            <w:pPr>
              <w:jc w:val="center"/>
              <w:rPr>
                <w:rFonts w:ascii="Calibri" w:eastAsia="宋体" w:hAnsi="Calibri" w:cs="Times New Roman"/>
                <w:sz w:val="20"/>
                <w:szCs w:val="20"/>
              </w:rPr>
            </w:pPr>
            <w:hyperlink r:id="rId9" w:history="1">
              <w:r w:rsidRPr="00DA615D">
                <w:rPr>
                  <w:rFonts w:hint="eastAsia"/>
                </w:rPr>
                <w:t>南京钢铁股份有限公司</w:t>
              </w:r>
            </w:hyperlink>
          </w:p>
        </w:tc>
        <w:tc>
          <w:tcPr>
            <w:tcW w:w="1613" w:type="dxa"/>
            <w:vAlign w:val="center"/>
          </w:tcPr>
          <w:p w:rsidR="0021157B" w:rsidRPr="00A9516E" w:rsidRDefault="0021157B" w:rsidP="009B0A72">
            <w:pPr>
              <w:widowControl/>
              <w:jc w:val="center"/>
              <w:textAlignment w:val="center"/>
              <w:rPr>
                <w:rFonts w:ascii="宋体" w:hAnsi="宋体"/>
                <w:szCs w:val="21"/>
              </w:rPr>
            </w:pPr>
          </w:p>
        </w:tc>
      </w:tr>
      <w:tr w:rsidR="0021157B" w:rsidRPr="00B24D85" w:rsidTr="009B0A72">
        <w:trPr>
          <w:trHeight w:hRule="exact" w:val="397"/>
          <w:jc w:val="center"/>
        </w:trPr>
        <w:tc>
          <w:tcPr>
            <w:tcW w:w="675" w:type="dxa"/>
            <w:vMerge/>
            <w:vAlign w:val="center"/>
          </w:tcPr>
          <w:p w:rsidR="0021157B" w:rsidRPr="00A9516E" w:rsidRDefault="0021157B" w:rsidP="009B0A72">
            <w:pPr>
              <w:jc w:val="center"/>
              <w:rPr>
                <w:rFonts w:ascii="宋体" w:hAnsi="宋体"/>
                <w:szCs w:val="21"/>
              </w:rPr>
            </w:pPr>
          </w:p>
        </w:tc>
        <w:tc>
          <w:tcPr>
            <w:tcW w:w="1680" w:type="dxa"/>
            <w:vMerge/>
            <w:vAlign w:val="center"/>
          </w:tcPr>
          <w:p w:rsidR="0021157B" w:rsidRPr="00A9516E" w:rsidRDefault="0021157B" w:rsidP="009B0A72">
            <w:pPr>
              <w:jc w:val="center"/>
              <w:rPr>
                <w:rFonts w:ascii="宋体" w:hAnsi="宋体"/>
                <w:szCs w:val="21"/>
              </w:rPr>
            </w:pPr>
          </w:p>
        </w:tc>
        <w:tc>
          <w:tcPr>
            <w:tcW w:w="1835" w:type="dxa"/>
            <w:vAlign w:val="center"/>
          </w:tcPr>
          <w:p w:rsidR="0021157B" w:rsidRDefault="0021157B" w:rsidP="009B0A72">
            <w:pPr>
              <w:jc w:val="center"/>
              <w:rPr>
                <w:rFonts w:ascii="宋体" w:eastAsia="宋体" w:hAnsi="宋体" w:cs="宋体"/>
                <w:sz w:val="20"/>
                <w:szCs w:val="20"/>
              </w:rPr>
            </w:pPr>
            <w:proofErr w:type="gramStart"/>
            <w:r>
              <w:rPr>
                <w:rFonts w:hint="eastAsia"/>
                <w:sz w:val="20"/>
                <w:szCs w:val="20"/>
              </w:rPr>
              <w:t>永钢</w:t>
            </w:r>
            <w:proofErr w:type="gramEnd"/>
          </w:p>
        </w:tc>
        <w:tc>
          <w:tcPr>
            <w:tcW w:w="3913" w:type="dxa"/>
            <w:vAlign w:val="center"/>
          </w:tcPr>
          <w:p w:rsidR="0021157B" w:rsidRPr="00DA615D" w:rsidRDefault="0021157B" w:rsidP="009B0A72">
            <w:pPr>
              <w:jc w:val="center"/>
              <w:rPr>
                <w:rFonts w:ascii="Calibri" w:eastAsia="宋体" w:hAnsi="Calibri" w:cs="Times New Roman"/>
                <w:sz w:val="20"/>
                <w:szCs w:val="20"/>
              </w:rPr>
            </w:pPr>
            <w:hyperlink r:id="rId10" w:history="1">
              <w:r w:rsidRPr="00DA615D">
                <w:rPr>
                  <w:rFonts w:hint="eastAsia"/>
                </w:rPr>
                <w:t>江苏永钢集团有限公司</w:t>
              </w:r>
            </w:hyperlink>
          </w:p>
        </w:tc>
        <w:tc>
          <w:tcPr>
            <w:tcW w:w="1613" w:type="dxa"/>
            <w:vAlign w:val="center"/>
          </w:tcPr>
          <w:p w:rsidR="0021157B" w:rsidRPr="00A9516E" w:rsidRDefault="0021157B" w:rsidP="009B0A72">
            <w:pPr>
              <w:widowControl/>
              <w:jc w:val="center"/>
              <w:textAlignment w:val="center"/>
              <w:rPr>
                <w:rFonts w:ascii="宋体" w:hAnsi="宋体"/>
                <w:szCs w:val="21"/>
              </w:rPr>
            </w:pPr>
          </w:p>
        </w:tc>
      </w:tr>
      <w:tr w:rsidR="0021157B" w:rsidRPr="00B24D85" w:rsidTr="009B0A72">
        <w:trPr>
          <w:trHeight w:hRule="exact" w:val="397"/>
          <w:jc w:val="center"/>
        </w:trPr>
        <w:tc>
          <w:tcPr>
            <w:tcW w:w="675" w:type="dxa"/>
            <w:vMerge w:val="restart"/>
            <w:vAlign w:val="center"/>
          </w:tcPr>
          <w:p w:rsidR="0021157B" w:rsidRPr="00A9516E" w:rsidRDefault="0021157B" w:rsidP="009B0A72">
            <w:pPr>
              <w:jc w:val="center"/>
              <w:rPr>
                <w:rFonts w:ascii="宋体" w:hAnsi="宋体"/>
                <w:szCs w:val="21"/>
              </w:rPr>
            </w:pPr>
            <w:r>
              <w:rPr>
                <w:rFonts w:ascii="宋体" w:hAnsi="宋体" w:hint="eastAsia"/>
                <w:szCs w:val="21"/>
              </w:rPr>
              <w:t>2</w:t>
            </w:r>
          </w:p>
        </w:tc>
        <w:tc>
          <w:tcPr>
            <w:tcW w:w="1680" w:type="dxa"/>
            <w:vMerge w:val="restart"/>
            <w:shd w:val="clear" w:color="auto" w:fill="auto"/>
            <w:vAlign w:val="center"/>
          </w:tcPr>
          <w:p w:rsidR="0021157B" w:rsidRPr="00A9516E" w:rsidRDefault="0021157B" w:rsidP="009B0A72">
            <w:pPr>
              <w:jc w:val="center"/>
              <w:rPr>
                <w:rFonts w:ascii="宋体" w:hAnsi="宋体"/>
                <w:szCs w:val="21"/>
              </w:rPr>
            </w:pPr>
            <w:r>
              <w:rPr>
                <w:rFonts w:ascii="宋体" w:hAnsi="宋体" w:hint="eastAsia"/>
                <w:szCs w:val="21"/>
              </w:rPr>
              <w:t>水泥</w:t>
            </w:r>
          </w:p>
        </w:tc>
        <w:tc>
          <w:tcPr>
            <w:tcW w:w="1835" w:type="dxa"/>
            <w:vAlign w:val="center"/>
          </w:tcPr>
          <w:p w:rsidR="0021157B" w:rsidRDefault="0021157B" w:rsidP="009B0A72">
            <w:pPr>
              <w:jc w:val="center"/>
              <w:rPr>
                <w:rFonts w:ascii="宋体" w:eastAsia="宋体" w:hAnsi="宋体" w:cs="宋体"/>
                <w:sz w:val="20"/>
                <w:szCs w:val="20"/>
              </w:rPr>
            </w:pPr>
            <w:r>
              <w:rPr>
                <w:rFonts w:hint="eastAsia"/>
                <w:sz w:val="20"/>
                <w:szCs w:val="20"/>
              </w:rPr>
              <w:t>海螺</w:t>
            </w:r>
          </w:p>
        </w:tc>
        <w:tc>
          <w:tcPr>
            <w:tcW w:w="3913" w:type="dxa"/>
            <w:vAlign w:val="center"/>
          </w:tcPr>
          <w:p w:rsidR="0021157B" w:rsidRPr="00DA615D" w:rsidRDefault="0021157B" w:rsidP="009B0A72">
            <w:pPr>
              <w:jc w:val="center"/>
              <w:rPr>
                <w:rFonts w:ascii="Calibri" w:eastAsia="宋体" w:hAnsi="Calibri" w:cs="Times New Roman"/>
                <w:sz w:val="20"/>
                <w:szCs w:val="20"/>
              </w:rPr>
            </w:pPr>
            <w:hyperlink r:id="rId11" w:history="1">
              <w:r w:rsidRPr="00DA615D">
                <w:rPr>
                  <w:rFonts w:hint="eastAsia"/>
                </w:rPr>
                <w:t>安徽海螺水泥股份有限公司</w:t>
              </w:r>
            </w:hyperlink>
          </w:p>
        </w:tc>
        <w:tc>
          <w:tcPr>
            <w:tcW w:w="1613" w:type="dxa"/>
            <w:vAlign w:val="center"/>
          </w:tcPr>
          <w:p w:rsidR="0021157B" w:rsidRPr="00A9516E" w:rsidRDefault="0021157B" w:rsidP="009B0A72">
            <w:pPr>
              <w:widowControl/>
              <w:jc w:val="center"/>
              <w:textAlignment w:val="center"/>
              <w:rPr>
                <w:rFonts w:ascii="宋体" w:hAnsi="宋体"/>
                <w:szCs w:val="21"/>
              </w:rPr>
            </w:pPr>
          </w:p>
        </w:tc>
      </w:tr>
      <w:tr w:rsidR="0021157B" w:rsidRPr="00B24D85" w:rsidTr="009B0A72">
        <w:trPr>
          <w:trHeight w:hRule="exact" w:val="397"/>
          <w:jc w:val="center"/>
        </w:trPr>
        <w:tc>
          <w:tcPr>
            <w:tcW w:w="675" w:type="dxa"/>
            <w:vMerge/>
            <w:vAlign w:val="center"/>
          </w:tcPr>
          <w:p w:rsidR="0021157B" w:rsidRPr="00A9516E" w:rsidRDefault="0021157B" w:rsidP="009B0A72">
            <w:pPr>
              <w:jc w:val="center"/>
              <w:rPr>
                <w:rFonts w:ascii="宋体" w:hAnsi="宋体"/>
                <w:szCs w:val="21"/>
              </w:rPr>
            </w:pPr>
          </w:p>
        </w:tc>
        <w:tc>
          <w:tcPr>
            <w:tcW w:w="1680" w:type="dxa"/>
            <w:vMerge/>
            <w:shd w:val="clear" w:color="auto" w:fill="auto"/>
            <w:vAlign w:val="center"/>
          </w:tcPr>
          <w:p w:rsidR="0021157B" w:rsidRPr="00A9516E" w:rsidRDefault="0021157B" w:rsidP="009B0A72">
            <w:pPr>
              <w:jc w:val="center"/>
              <w:rPr>
                <w:rFonts w:ascii="宋体" w:hAnsi="宋体"/>
                <w:szCs w:val="21"/>
              </w:rPr>
            </w:pPr>
          </w:p>
        </w:tc>
        <w:tc>
          <w:tcPr>
            <w:tcW w:w="1835" w:type="dxa"/>
            <w:vAlign w:val="center"/>
          </w:tcPr>
          <w:p w:rsidR="0021157B" w:rsidRDefault="0021157B" w:rsidP="009B0A72">
            <w:pPr>
              <w:jc w:val="center"/>
              <w:rPr>
                <w:rFonts w:ascii="宋体" w:eastAsia="宋体" w:hAnsi="宋体" w:cs="宋体"/>
                <w:sz w:val="20"/>
                <w:szCs w:val="20"/>
              </w:rPr>
            </w:pPr>
            <w:r>
              <w:rPr>
                <w:rFonts w:hint="eastAsia"/>
                <w:sz w:val="20"/>
                <w:szCs w:val="20"/>
              </w:rPr>
              <w:t>鹤林</w:t>
            </w:r>
          </w:p>
        </w:tc>
        <w:tc>
          <w:tcPr>
            <w:tcW w:w="3913" w:type="dxa"/>
            <w:vAlign w:val="center"/>
          </w:tcPr>
          <w:p w:rsidR="0021157B" w:rsidRPr="00DA615D" w:rsidRDefault="0021157B" w:rsidP="009B0A72">
            <w:pPr>
              <w:jc w:val="center"/>
              <w:rPr>
                <w:rFonts w:ascii="Calibri" w:eastAsia="宋体" w:hAnsi="Calibri" w:cs="Times New Roman"/>
                <w:sz w:val="20"/>
                <w:szCs w:val="20"/>
              </w:rPr>
            </w:pPr>
            <w:hyperlink r:id="rId12" w:history="1">
              <w:r w:rsidRPr="00DA615D">
                <w:rPr>
                  <w:rFonts w:hint="eastAsia"/>
                </w:rPr>
                <w:t>江苏鹤林水泥有限公司</w:t>
              </w:r>
            </w:hyperlink>
          </w:p>
        </w:tc>
        <w:tc>
          <w:tcPr>
            <w:tcW w:w="1613" w:type="dxa"/>
            <w:vAlign w:val="center"/>
          </w:tcPr>
          <w:p w:rsidR="0021157B" w:rsidRPr="00A9516E" w:rsidRDefault="0021157B" w:rsidP="009B0A72">
            <w:pPr>
              <w:widowControl/>
              <w:jc w:val="center"/>
              <w:textAlignment w:val="center"/>
              <w:rPr>
                <w:rFonts w:ascii="宋体" w:hAnsi="宋体"/>
                <w:szCs w:val="21"/>
              </w:rPr>
            </w:pPr>
          </w:p>
        </w:tc>
      </w:tr>
      <w:tr w:rsidR="0021157B" w:rsidRPr="00B24D85" w:rsidTr="009B0A72">
        <w:trPr>
          <w:trHeight w:hRule="exact" w:val="397"/>
          <w:jc w:val="center"/>
        </w:trPr>
        <w:tc>
          <w:tcPr>
            <w:tcW w:w="675" w:type="dxa"/>
            <w:vMerge/>
            <w:vAlign w:val="center"/>
          </w:tcPr>
          <w:p w:rsidR="0021157B" w:rsidRPr="00A9516E" w:rsidRDefault="0021157B" w:rsidP="009B0A72">
            <w:pPr>
              <w:jc w:val="center"/>
              <w:rPr>
                <w:rFonts w:ascii="宋体" w:hAnsi="宋体"/>
                <w:szCs w:val="21"/>
              </w:rPr>
            </w:pPr>
          </w:p>
        </w:tc>
        <w:tc>
          <w:tcPr>
            <w:tcW w:w="1680" w:type="dxa"/>
            <w:vMerge/>
            <w:shd w:val="clear" w:color="auto" w:fill="auto"/>
            <w:vAlign w:val="center"/>
          </w:tcPr>
          <w:p w:rsidR="0021157B" w:rsidRPr="00A9516E" w:rsidRDefault="0021157B" w:rsidP="009B0A72">
            <w:pPr>
              <w:jc w:val="center"/>
              <w:rPr>
                <w:rFonts w:ascii="宋体" w:hAnsi="宋体"/>
                <w:szCs w:val="21"/>
              </w:rPr>
            </w:pPr>
          </w:p>
        </w:tc>
        <w:tc>
          <w:tcPr>
            <w:tcW w:w="1835" w:type="dxa"/>
            <w:vAlign w:val="center"/>
          </w:tcPr>
          <w:p w:rsidR="0021157B" w:rsidRDefault="0021157B" w:rsidP="009B0A72">
            <w:pPr>
              <w:jc w:val="center"/>
              <w:rPr>
                <w:rFonts w:ascii="宋体" w:eastAsia="宋体" w:hAnsi="宋体" w:cs="宋体"/>
                <w:sz w:val="20"/>
                <w:szCs w:val="20"/>
              </w:rPr>
            </w:pPr>
            <w:r>
              <w:rPr>
                <w:rFonts w:hint="eastAsia"/>
                <w:sz w:val="20"/>
                <w:szCs w:val="20"/>
              </w:rPr>
              <w:t>中联</w:t>
            </w:r>
          </w:p>
        </w:tc>
        <w:tc>
          <w:tcPr>
            <w:tcW w:w="3913" w:type="dxa"/>
            <w:vAlign w:val="center"/>
          </w:tcPr>
          <w:p w:rsidR="0021157B" w:rsidRPr="00DA615D" w:rsidRDefault="0021157B" w:rsidP="009B0A72">
            <w:pPr>
              <w:jc w:val="center"/>
              <w:rPr>
                <w:rFonts w:ascii="Calibri" w:eastAsia="宋体" w:hAnsi="Calibri" w:cs="Times New Roman"/>
                <w:sz w:val="20"/>
                <w:szCs w:val="20"/>
              </w:rPr>
            </w:pPr>
            <w:hyperlink r:id="rId13" w:history="1">
              <w:r w:rsidRPr="00DA615D">
                <w:rPr>
                  <w:rFonts w:hint="eastAsia"/>
                </w:rPr>
                <w:t>中国联合水泥集团有限公司</w:t>
              </w:r>
            </w:hyperlink>
          </w:p>
        </w:tc>
        <w:tc>
          <w:tcPr>
            <w:tcW w:w="1613" w:type="dxa"/>
            <w:vAlign w:val="center"/>
          </w:tcPr>
          <w:p w:rsidR="0021157B" w:rsidRPr="00A9516E" w:rsidRDefault="0021157B" w:rsidP="009B0A72">
            <w:pPr>
              <w:widowControl/>
              <w:jc w:val="center"/>
              <w:textAlignment w:val="center"/>
              <w:rPr>
                <w:rFonts w:ascii="宋体" w:hAnsi="宋体"/>
                <w:szCs w:val="21"/>
              </w:rPr>
            </w:pPr>
          </w:p>
        </w:tc>
      </w:tr>
    </w:tbl>
    <w:p w:rsidR="00C90708" w:rsidRDefault="00DB38AE">
      <w:pPr>
        <w:spacing w:line="360" w:lineRule="auto"/>
        <w:ind w:firstLineChars="200" w:firstLine="440"/>
        <w:rPr>
          <w:rFonts w:asciiTheme="minorEastAsia" w:hAnsiTheme="minorEastAsia"/>
          <w:sz w:val="22"/>
        </w:rPr>
      </w:pPr>
      <w:bookmarkStart w:id="0" w:name="_GoBack"/>
      <w:bookmarkEnd w:id="0"/>
      <w:r>
        <w:rPr>
          <w:rFonts w:asciiTheme="minorEastAsia" w:hAnsiTheme="minorEastAsia" w:hint="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C90708" w:rsidRDefault="00DB38AE">
      <w:p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、投标人应认真理解和熟悉招标文件和设计图纸，并于投标前自行踏勘现场，充分了解并分析施工条件（包括施工现场红线范围内需要拆除的部位）；工程施工所需水、电、路、渣土堆放</w:t>
      </w:r>
      <w:r>
        <w:rPr>
          <w:rFonts w:asciiTheme="minorEastAsia" w:hAnsiTheme="minorEastAsia" w:hint="eastAsia"/>
          <w:sz w:val="22"/>
        </w:rPr>
        <w:t>、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w:t>
      </w:r>
      <w:proofErr w:type="gramStart"/>
      <w:r>
        <w:rPr>
          <w:rFonts w:asciiTheme="minorEastAsia" w:hAnsiTheme="minorEastAsia" w:hint="eastAsia"/>
          <w:sz w:val="22"/>
        </w:rPr>
        <w:t>拆徐恢复</w:t>
      </w:r>
      <w:proofErr w:type="gramEnd"/>
      <w:r>
        <w:rPr>
          <w:rFonts w:asciiTheme="minorEastAsia" w:hAnsiTheme="minorEastAsia" w:hint="eastAsia"/>
          <w:sz w:val="22"/>
        </w:rPr>
        <w:t>原样。</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、工程量清单中每一项目的工作内容，分部分项工程量清单中“项目特征”内容描述不详尽的，以设计图纸、《建设工程工程量清单计价规范》（</w:t>
      </w:r>
      <w:r>
        <w:rPr>
          <w:rFonts w:asciiTheme="minorEastAsia" w:hAnsiTheme="minorEastAsia" w:hint="eastAsia"/>
          <w:sz w:val="22"/>
        </w:rPr>
        <w:t>GB50500-2013</w:t>
      </w:r>
      <w:r>
        <w:rPr>
          <w:rFonts w:asciiTheme="minorEastAsia" w:hAnsiTheme="minorEastAsia" w:hint="eastAsia"/>
          <w:sz w:val="22"/>
        </w:rPr>
        <w:t>）及相关规范为准，设计图纸内的全部内容被认为综合</w:t>
      </w:r>
      <w:r>
        <w:rPr>
          <w:rFonts w:asciiTheme="minorEastAsia" w:hAnsiTheme="minorEastAsia" w:hint="eastAsia"/>
          <w:sz w:val="22"/>
        </w:rPr>
        <w:t>在工程量清单中各项目工作内容内，施工材料及施工方法均须满足设计和规范要求。</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、工程量清单报价应包括完成招标文件规定的工程量清单项目所需的全部费用，其内含：</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w:t>
      </w:r>
      <w:proofErr w:type="gramStart"/>
      <w:r>
        <w:rPr>
          <w:rFonts w:asciiTheme="minorEastAsia" w:hAnsiTheme="minorEastAsia" w:hint="eastAsia"/>
          <w:sz w:val="22"/>
        </w:rPr>
        <w:t>规费</w:t>
      </w:r>
      <w:proofErr w:type="gramEnd"/>
      <w:r>
        <w:rPr>
          <w:rFonts w:asciiTheme="minorEastAsia" w:hAnsiTheme="minorEastAsia" w:hint="eastAsia"/>
          <w:sz w:val="22"/>
        </w:rPr>
        <w:t>、税金；</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④工程量清单项目中没有体现的，施工中又必须发生的工程内容所需的费用；</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lastRenderedPageBreak/>
        <w:t>4</w:t>
      </w:r>
      <w:r>
        <w:rPr>
          <w:rFonts w:asciiTheme="minorEastAsia" w:hAnsiTheme="minorEastAsia" w:hint="eastAsia"/>
          <w:sz w:val="22"/>
        </w:rPr>
        <w:t>、对招标人所列的措施项目，投标人可根据工程实际与施工组织设计进行增补，不可竞争</w:t>
      </w:r>
      <w:proofErr w:type="gramStart"/>
      <w:r>
        <w:rPr>
          <w:rFonts w:asciiTheme="minorEastAsia" w:hAnsiTheme="minorEastAsia" w:hint="eastAsia"/>
          <w:sz w:val="22"/>
        </w:rPr>
        <w:t>费不可</w:t>
      </w:r>
      <w:proofErr w:type="gramEnd"/>
      <w:r>
        <w:rPr>
          <w:rFonts w:asciiTheme="minorEastAsia" w:hAnsiTheme="minorEastAsia" w:hint="eastAsia"/>
          <w:sz w:val="22"/>
        </w:rPr>
        <w:t>更改。结算时，除工程变更引起施工方案改变外，承包人不得以招标工程措施项目清单缺项为由要求新增措施项目。措施费投标人须全面考虑，除招标文件中另有规定外，如有漏项，按投标人让利考虑。</w:t>
      </w:r>
    </w:p>
    <w:p w:rsidR="00C90708" w:rsidRDefault="00DB38AE">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若设计图纸、招标文件中相关条款及清单描述有冲突的，投标人应在“澄清答疑”环节中向招标人提出，招标人将在“澄清答疑”环节中答复；投标人未在“澄清答疑”环节提出的，则最终解释权归属于招标人。</w:t>
      </w:r>
    </w:p>
    <w:sectPr w:rsidR="00C90708">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8AE" w:rsidRDefault="00DB38AE" w:rsidP="0021157B">
      <w:r>
        <w:separator/>
      </w:r>
    </w:p>
  </w:endnote>
  <w:endnote w:type="continuationSeparator" w:id="0">
    <w:p w:rsidR="00DB38AE" w:rsidRDefault="00DB38AE" w:rsidP="00211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8AE" w:rsidRDefault="00DB38AE" w:rsidP="0021157B">
      <w:r>
        <w:separator/>
      </w:r>
    </w:p>
  </w:footnote>
  <w:footnote w:type="continuationSeparator" w:id="0">
    <w:p w:rsidR="00DB38AE" w:rsidRDefault="00DB38AE" w:rsidP="002115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NDM1OGI5MGIwNzQ2MmYyNzQyMDBlZWU2OWZiMTgifQ=="/>
  </w:docVars>
  <w:rsids>
    <w:rsidRoot w:val="007216EE"/>
    <w:rsid w:val="00010537"/>
    <w:rsid w:val="000918CE"/>
    <w:rsid w:val="000B4442"/>
    <w:rsid w:val="000E4EFC"/>
    <w:rsid w:val="000F0F71"/>
    <w:rsid w:val="00110532"/>
    <w:rsid w:val="00135F54"/>
    <w:rsid w:val="001918E0"/>
    <w:rsid w:val="001A4FE1"/>
    <w:rsid w:val="001D63D0"/>
    <w:rsid w:val="0021157B"/>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C90708"/>
    <w:rsid w:val="00D3387F"/>
    <w:rsid w:val="00D35105"/>
    <w:rsid w:val="00D77557"/>
    <w:rsid w:val="00D92B20"/>
    <w:rsid w:val="00DB38AE"/>
    <w:rsid w:val="00DC00C4"/>
    <w:rsid w:val="00DC3B6C"/>
    <w:rsid w:val="00E07FAE"/>
    <w:rsid w:val="00EE0655"/>
    <w:rsid w:val="00EF2517"/>
    <w:rsid w:val="00F54A72"/>
    <w:rsid w:val="00F82DC4"/>
    <w:rsid w:val="142B510D"/>
    <w:rsid w:val="25150C86"/>
    <w:rsid w:val="7D420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customStyle="1" w:styleId="ListParagraph1">
    <w:name w:val="List Paragraph1"/>
    <w:basedOn w:val="a"/>
    <w:autoRedefine/>
    <w:qFormat/>
    <w:pPr>
      <w:ind w:firstLineChars="200" w:firstLine="420"/>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customStyle="1" w:styleId="ListParagraph1">
    <w:name w:val="List Paragraph1"/>
    <w:basedOn w:val="a"/>
    <w:autoRedefine/>
    <w:qFormat/>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file:///E:\&#21335;&#22823;&#20113;&#30424;\Seafile\&#24120;&#29992;&#31649;&#29702;&#21488;&#36134;\&#26448;&#26009;&#21697;&#29260;&#24211;\&#20379;&#24212;&#21830;&#22522;&#26412;&#20449;&#24687;\&#27743;&#33487;&#27801;&#38050;&#38598;&#22242;&#26377;&#38480;&#20844;&#21496;" TargetMode="External"/><Relationship Id="rId13" Type="http://schemas.openxmlformats.org/officeDocument/2006/relationships/hyperlink" Target="file:///E:\&#21335;&#22823;&#20113;&#30424;\Seafile\&#24120;&#29992;&#31649;&#29702;&#21488;&#36134;\&#26448;&#26009;&#21697;&#29260;&#24211;\&#20379;&#24212;&#21830;&#22522;&#26412;&#20449;&#24687;\&#20013;&#22269;&#32852;&#21512;&#27700;&#27877;&#38598;&#22242;&#26377;&#38480;&#20844;&#21496;" TargetMode="External"/><Relationship Id="rId3" Type="http://schemas.openxmlformats.org/officeDocument/2006/relationships/settings" Target="settings.xml"/><Relationship Id="rId7" Type="http://schemas.openxmlformats.org/officeDocument/2006/relationships/hyperlink" Target="file:///E:\&#21335;&#22823;&#20113;&#30424;\Seafile\&#24120;&#29992;&#31649;&#29702;&#21488;&#36134;\&#26448;&#26009;&#21697;&#29260;&#24211;\&#20379;&#24212;&#21830;&#22522;&#26412;&#20449;&#24687;\&#39532;&#38797;&#23665;&#38050;&#38081;&#32929;&#20221;&#26377;&#38480;&#20844;&#21496;" TargetMode="External"/><Relationship Id="rId12" Type="http://schemas.openxmlformats.org/officeDocument/2006/relationships/hyperlink" Target="file:///E:\&#21335;&#22823;&#20113;&#30424;\Seafile\&#24120;&#29992;&#31649;&#29702;&#21488;&#36134;\&#26448;&#26009;&#21697;&#29260;&#24211;\&#20379;&#24212;&#21830;&#22522;&#26412;&#20449;&#24687;\&#27743;&#33487;&#40548;&#26519;&#27700;&#27877;&#26377;&#38480;&#20844;&#21496;"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file:///E:\&#21335;&#22823;&#20113;&#30424;\Seafile\&#24120;&#29992;&#31649;&#29702;&#21488;&#36134;\&#26448;&#26009;&#21697;&#29260;&#24211;\&#20379;&#24212;&#21830;&#22522;&#26412;&#20449;&#24687;\&#23433;&#24509;&#28023;&#34746;&#27700;&#27877;&#32929;&#20221;&#26377;&#38480;&#20844;&#21496;"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E:\&#21335;&#22823;&#20113;&#30424;\Seafile\&#24120;&#29992;&#31649;&#29702;&#21488;&#36134;\&#26448;&#26009;&#21697;&#29260;&#24211;\&#20379;&#24212;&#21830;&#22522;&#26412;&#20449;&#24687;\&#27743;&#33487;&#27704;&#38050;&#38598;&#22242;&#26377;&#38480;&#20844;&#21496;" TargetMode="External"/><Relationship Id="rId4" Type="http://schemas.openxmlformats.org/officeDocument/2006/relationships/webSettings" Target="webSettings.xml"/><Relationship Id="rId9" Type="http://schemas.openxmlformats.org/officeDocument/2006/relationships/hyperlink" Target="file:///E:\&#21335;&#22823;&#20113;&#30424;\Seafile\&#24120;&#29992;&#31649;&#29702;&#21488;&#36134;\&#26448;&#26009;&#21697;&#29260;&#24211;\&#20379;&#24212;&#21830;&#22522;&#26412;&#20449;&#24687;\&#21335;&#20140;&#38050;&#38081;&#32929;&#20221;&#26377;&#38480;&#20844;&#21496;"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472</Words>
  <Characters>2697</Characters>
  <Application>Microsoft Office Word</Application>
  <DocSecurity>0</DocSecurity>
  <Lines>22</Lines>
  <Paragraphs>6</Paragraphs>
  <ScaleCrop>false</ScaleCrop>
  <Company/>
  <LinksUpToDate>false</LinksUpToDate>
  <CharactersWithSpaces>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23</cp:revision>
  <dcterms:created xsi:type="dcterms:W3CDTF">2023-06-05T04:27:00Z</dcterms:created>
  <dcterms:modified xsi:type="dcterms:W3CDTF">2024-06-18T08:12:00Z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49C06F81FCB543C1879DC83357FE5948_12</vt:lpwstr>
  </property>
</Properties>
</file>