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rPr>
          <w:sz w:val="28"/>
          <w:szCs w:val="28"/>
        </w:rPr>
      </w:pPr>
      <w:r>
        <w:rPr>
          <w:rFonts w:hint="eastAsia"/>
          <w:sz w:val="28"/>
          <w:szCs w:val="28"/>
        </w:rPr>
        <w:t>一、工程概况</w:t>
      </w:r>
    </w:p>
    <w:p>
      <w:pPr>
        <w:spacing w:line="360" w:lineRule="auto"/>
        <w:ind w:firstLine="440" w:firstLineChars="200"/>
        <w:rPr>
          <w:rFonts w:hint="default" w:eastAsiaTheme="minorEastAsia"/>
          <w:color w:val="auto"/>
          <w:sz w:val="22"/>
          <w:lang w:val="en-US" w:eastAsia="zh-CN"/>
        </w:rPr>
      </w:pPr>
      <w:r>
        <w:rPr>
          <w:rFonts w:hint="eastAsia"/>
          <w:color w:val="FF0000"/>
          <w:sz w:val="22"/>
          <w:lang w:val="en-US" w:eastAsia="zh-CN"/>
        </w:rPr>
        <w:t>工程名称：南京大学鼓楼校区新生学院教室打铃系统工程</w:t>
      </w:r>
    </w:p>
    <w:p>
      <w:pPr>
        <w:spacing w:line="360" w:lineRule="auto"/>
        <w:rPr>
          <w:sz w:val="28"/>
          <w:szCs w:val="28"/>
        </w:rPr>
      </w:pPr>
      <w:r>
        <w:rPr>
          <w:rFonts w:hint="eastAsia"/>
          <w:sz w:val="28"/>
          <w:szCs w:val="28"/>
        </w:rPr>
        <w:t>二、工程招标和分包范围</w:t>
      </w:r>
    </w:p>
    <w:p>
      <w:pPr>
        <w:spacing w:line="360" w:lineRule="auto"/>
        <w:ind w:firstLine="420" w:firstLineChars="200"/>
        <w:rPr>
          <w:color w:val="FF0000"/>
        </w:rPr>
      </w:pPr>
      <w:r>
        <w:rPr>
          <w:rFonts w:hint="eastAsia"/>
          <w:color w:val="FF0000"/>
        </w:rPr>
        <w:t>本项目为</w:t>
      </w:r>
      <w:r>
        <w:rPr>
          <w:rFonts w:hint="eastAsia"/>
          <w:color w:val="FF0000"/>
          <w:lang w:val="en-US" w:eastAsia="zh-CN"/>
        </w:rPr>
        <w:t>校园广播改造工程</w:t>
      </w:r>
      <w:r>
        <w:rPr>
          <w:rFonts w:hint="eastAsia"/>
          <w:color w:val="FF0000"/>
        </w:rPr>
        <w:t>，项目位于南京</w:t>
      </w:r>
      <w:r>
        <w:rPr>
          <w:rFonts w:hint="eastAsia"/>
          <w:color w:val="FF0000"/>
          <w:lang w:val="en-US" w:eastAsia="zh-CN"/>
        </w:rPr>
        <w:t>鼓楼</w:t>
      </w:r>
      <w:r>
        <w:rPr>
          <w:rFonts w:hint="eastAsia"/>
          <w:color w:val="FF0000"/>
        </w:rPr>
        <w:t>区。</w:t>
      </w:r>
    </w:p>
    <w:p>
      <w:pPr>
        <w:spacing w:line="360" w:lineRule="auto"/>
        <w:rPr>
          <w:sz w:val="28"/>
          <w:szCs w:val="28"/>
        </w:rPr>
      </w:pPr>
      <w:r>
        <w:rPr>
          <w:rFonts w:hint="eastAsia"/>
          <w:sz w:val="28"/>
          <w:szCs w:val="28"/>
        </w:rPr>
        <w:t>三、编制依据</w:t>
      </w:r>
    </w:p>
    <w:p>
      <w:pPr>
        <w:pStyle w:val="5"/>
        <w:keepNext w:val="0"/>
        <w:keepLines w:val="0"/>
        <w:widowControl/>
        <w:suppressLineNumbers w:val="0"/>
        <w:spacing w:before="0" w:beforeAutospacing="0" w:after="0" w:afterAutospacing="0"/>
        <w:ind w:left="0" w:right="0" w:firstLine="440" w:firstLineChars="200"/>
        <w:rPr>
          <w:color w:val="FF0000"/>
          <w:sz w:val="22"/>
        </w:rPr>
      </w:pPr>
      <w:r>
        <w:rPr>
          <w:rFonts w:hint="eastAsia"/>
          <w:sz w:val="22"/>
        </w:rPr>
        <w:t>1、</w:t>
      </w:r>
      <w:r>
        <w:rPr>
          <w:rFonts w:ascii="宋体" w:hAnsi="宋体" w:eastAsia="宋体" w:cs="宋体"/>
          <w:sz w:val="22"/>
          <w:szCs w:val="22"/>
        </w:rPr>
        <w:t>南京大学建筑规划设计研究院有限公司</w:t>
      </w:r>
      <w:r>
        <w:rPr>
          <w:rFonts w:hint="eastAsia"/>
          <w:sz w:val="22"/>
        </w:rPr>
        <w:t>设计的</w:t>
      </w:r>
      <w:r>
        <w:rPr>
          <w:rFonts w:hint="eastAsia"/>
          <w:color w:val="FF0000"/>
          <w:sz w:val="22"/>
          <w:lang w:val="en-US" w:eastAsia="zh-CN"/>
        </w:rPr>
        <w:t>2022</w:t>
      </w:r>
      <w:r>
        <w:rPr>
          <w:rFonts w:hint="eastAsia"/>
          <w:color w:val="FF0000"/>
          <w:sz w:val="22"/>
        </w:rPr>
        <w:t>年</w:t>
      </w:r>
      <w:r>
        <w:rPr>
          <w:rFonts w:hint="eastAsia"/>
          <w:color w:val="FF0000"/>
          <w:sz w:val="22"/>
          <w:lang w:val="en-US" w:eastAsia="zh-CN"/>
        </w:rPr>
        <w:t>5</w:t>
      </w:r>
      <w:r>
        <w:rPr>
          <w:rFonts w:hint="eastAsia"/>
          <w:color w:val="FF0000"/>
          <w:sz w:val="22"/>
        </w:rPr>
        <w:t>月</w:t>
      </w:r>
      <w:r>
        <w:rPr>
          <w:rFonts w:hint="eastAsia"/>
          <w:color w:val="FF0000"/>
          <w:sz w:val="22"/>
          <w:lang w:val="en-US" w:eastAsia="zh-CN"/>
        </w:rPr>
        <w:t>17</w:t>
      </w:r>
      <w:r>
        <w:rPr>
          <w:rFonts w:hint="eastAsia"/>
          <w:color w:val="FF0000"/>
          <w:sz w:val="22"/>
        </w:rPr>
        <w:t>日</w:t>
      </w:r>
      <w:r>
        <w:rPr>
          <w:rFonts w:hint="eastAsia"/>
          <w:sz w:val="22"/>
        </w:rPr>
        <w:t>施工图及其说明</w:t>
      </w:r>
      <w:r>
        <w:rPr>
          <w:rFonts w:hint="eastAsia"/>
          <w:sz w:val="22"/>
          <w:lang w:eastAsia="zh-CN"/>
        </w:rPr>
        <w:t>、</w:t>
      </w:r>
      <w:r>
        <w:rPr>
          <w:rFonts w:hint="eastAsia"/>
          <w:sz w:val="22"/>
          <w:lang w:val="en-US" w:eastAsia="zh-CN"/>
        </w:rPr>
        <w:t>技术参数、深化设计</w:t>
      </w:r>
      <w:r>
        <w:rPr>
          <w:rFonts w:hint="eastAsia"/>
          <w:sz w:val="22"/>
        </w:rPr>
        <w:t>等技术资料。</w:t>
      </w:r>
    </w:p>
    <w:p>
      <w:pPr>
        <w:spacing w:line="360" w:lineRule="auto"/>
        <w:ind w:firstLine="440" w:firstLineChars="200"/>
        <w:rPr>
          <w:color w:val="FF0000"/>
          <w:sz w:val="22"/>
        </w:rPr>
      </w:pPr>
      <w:r>
        <w:rPr>
          <w:rFonts w:hint="eastAsia"/>
          <w:sz w:val="22"/>
          <w:lang w:val="en-US" w:eastAsia="zh-CN"/>
        </w:rPr>
        <w:t>2</w:t>
      </w:r>
      <w:r>
        <w:rPr>
          <w:rFonts w:hint="eastAsia"/>
          <w:sz w:val="22"/>
        </w:rPr>
        <w:t>、计量规范：</w:t>
      </w:r>
    </w:p>
    <w:p>
      <w:pPr>
        <w:spacing w:line="360" w:lineRule="auto"/>
        <w:ind w:firstLine="440" w:firstLineChars="200"/>
        <w:rPr>
          <w:color w:val="00B0F0"/>
          <w:sz w:val="22"/>
        </w:rPr>
      </w:pPr>
      <w:r>
        <w:rPr>
          <w:rFonts w:hint="eastAsia"/>
          <w:color w:val="00B0F0"/>
          <w:sz w:val="22"/>
        </w:rPr>
        <w:t>①《建设工程工程量清单计价规范》（GB50500-2013）</w:t>
      </w:r>
    </w:p>
    <w:p>
      <w:pPr>
        <w:spacing w:line="360" w:lineRule="auto"/>
        <w:ind w:firstLine="440" w:firstLineChars="200"/>
        <w:rPr>
          <w:color w:val="00B0F0"/>
          <w:sz w:val="22"/>
        </w:rPr>
      </w:pPr>
      <w:r>
        <w:rPr>
          <w:rFonts w:hint="eastAsia"/>
          <w:color w:val="00B0F0"/>
          <w:sz w:val="22"/>
        </w:rPr>
        <w:t>②《通用安装工程工程量计算规范》（GB50856-2013）</w:t>
      </w:r>
    </w:p>
    <w:p>
      <w:pPr>
        <w:spacing w:line="360" w:lineRule="auto"/>
        <w:ind w:firstLine="440" w:firstLineChars="200"/>
        <w:rPr>
          <w:color w:val="00B0F0"/>
          <w:sz w:val="22"/>
        </w:rPr>
      </w:pPr>
      <w:r>
        <w:rPr>
          <w:rFonts w:hint="eastAsia"/>
          <w:color w:val="00B0F0"/>
          <w:sz w:val="22"/>
        </w:rPr>
        <w:t>③现行相关补充或调整文件</w:t>
      </w:r>
    </w:p>
    <w:p>
      <w:pPr>
        <w:spacing w:line="360" w:lineRule="auto"/>
        <w:ind w:firstLine="440" w:firstLineChars="200"/>
        <w:rPr>
          <w:sz w:val="22"/>
        </w:rPr>
      </w:pPr>
      <w:r>
        <w:rPr>
          <w:rFonts w:hint="eastAsia"/>
          <w:sz w:val="22"/>
          <w:lang w:val="en-US" w:eastAsia="zh-CN"/>
        </w:rPr>
        <w:t>3</w:t>
      </w:r>
      <w:r>
        <w:rPr>
          <w:rFonts w:hint="eastAsia"/>
          <w:sz w:val="22"/>
        </w:rPr>
        <w:t>、与本工程项目有关的标准、施工规范与验收规范。</w:t>
      </w:r>
    </w:p>
    <w:p>
      <w:pPr>
        <w:spacing w:line="360" w:lineRule="auto"/>
        <w:rPr>
          <w:sz w:val="28"/>
          <w:szCs w:val="28"/>
        </w:rPr>
      </w:pPr>
      <w:r>
        <w:rPr>
          <w:rFonts w:hint="eastAsia"/>
          <w:sz w:val="28"/>
          <w:szCs w:val="28"/>
        </w:rPr>
        <w:t>四、取费标准</w:t>
      </w:r>
    </w:p>
    <w:p>
      <w:pPr>
        <w:spacing w:line="360" w:lineRule="auto"/>
        <w:ind w:firstLine="440" w:firstLineChars="200"/>
        <w:rPr>
          <w:color w:val="00B0F0"/>
          <w:sz w:val="22"/>
        </w:rPr>
      </w:pPr>
      <w:r>
        <w:rPr>
          <w:rFonts w:hint="eastAsia"/>
          <w:color w:val="00B0F0"/>
          <w:sz w:val="22"/>
        </w:rPr>
        <w:t>1、《江苏省建设工程费用定额》（2014）。</w:t>
      </w:r>
    </w:p>
    <w:p>
      <w:pPr>
        <w:spacing w:line="360" w:lineRule="auto"/>
        <w:ind w:firstLine="440" w:firstLineChars="200"/>
        <w:rPr>
          <w:color w:val="00B0F0"/>
          <w:sz w:val="22"/>
        </w:rPr>
      </w:pPr>
      <w:r>
        <w:rPr>
          <w:rFonts w:hint="eastAsia"/>
          <w:color w:val="00B0F0"/>
          <w:sz w:val="22"/>
        </w:rPr>
        <w:t>2、《省住房城乡建设厅关于建筑业实施营改增后江苏省建设工程计价依据调整的通知》 苏建价（2016）154号文及相关附件。</w:t>
      </w:r>
    </w:p>
    <w:p>
      <w:pPr>
        <w:spacing w:line="360" w:lineRule="auto"/>
        <w:ind w:firstLine="440" w:firstLineChars="200"/>
        <w:rPr>
          <w:color w:val="00B0F0"/>
          <w:sz w:val="22"/>
        </w:rPr>
      </w:pPr>
      <w:r>
        <w:rPr>
          <w:rFonts w:hint="eastAsia"/>
          <w:color w:val="00B0F0"/>
          <w:sz w:val="22"/>
        </w:rPr>
        <w:t>3、《省住房城乡建设厅关于建筑业增值税计价政策调整的通知》苏建函价（2019）178号文。</w:t>
      </w:r>
    </w:p>
    <w:p>
      <w:pPr>
        <w:spacing w:line="360" w:lineRule="auto"/>
        <w:ind w:firstLine="440" w:firstLineChars="200"/>
        <w:rPr>
          <w:color w:val="00B0F0"/>
          <w:sz w:val="22"/>
        </w:rPr>
      </w:pPr>
      <w:r>
        <w:rPr>
          <w:rFonts w:hint="eastAsia"/>
          <w:color w:val="00B0F0"/>
          <w:sz w:val="22"/>
        </w:rPr>
        <w:t>4、安全文明施工措施费计取基本费和扬尘污染防治增加费。</w:t>
      </w:r>
    </w:p>
    <w:p>
      <w:pPr>
        <w:spacing w:line="360" w:lineRule="auto"/>
        <w:ind w:firstLine="440" w:firstLineChars="200"/>
        <w:rPr>
          <w:color w:val="00B0F0"/>
          <w:sz w:val="22"/>
        </w:rPr>
      </w:pPr>
      <w:r>
        <w:rPr>
          <w:rFonts w:hint="eastAsia"/>
          <w:color w:val="00B0F0"/>
          <w:sz w:val="22"/>
        </w:rPr>
        <w:t>5、政策性文件及报价参考执行投标截止日前省市建委造价有关文件，投标截止日后的省市建委造价文件不予执行。</w:t>
      </w:r>
    </w:p>
    <w:p>
      <w:pPr>
        <w:spacing w:line="360" w:lineRule="auto"/>
        <w:ind w:firstLine="440" w:firstLineChars="200"/>
        <w:rPr>
          <w:color w:val="00B0F0"/>
          <w:sz w:val="22"/>
        </w:rPr>
      </w:pPr>
      <w:r>
        <w:rPr>
          <w:rFonts w:hint="eastAsia"/>
          <w:color w:val="00B0F0"/>
          <w:sz w:val="22"/>
        </w:rPr>
        <w:t>6、人工工资参考江苏省建设工程人工工资指导价自主报价，其它费用按照省市建委发布的有关文件及政策规定等执行，报价参考执行投标截止日前省建设厅、市建委造价有关文件。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color w:val="00B0F0"/>
          <w:sz w:val="22"/>
        </w:rPr>
      </w:pPr>
      <w:r>
        <w:rPr>
          <w:rFonts w:hint="eastAsia"/>
          <w:color w:val="00B0F0"/>
          <w:sz w:val="22"/>
        </w:rPr>
        <w:t>7、暂列金额及暂估价：</w:t>
      </w:r>
    </w:p>
    <w:p>
      <w:pPr>
        <w:spacing w:line="360" w:lineRule="auto"/>
        <w:ind w:firstLine="440" w:firstLineChars="200"/>
        <w:rPr>
          <w:color w:val="00B0F0"/>
          <w:sz w:val="22"/>
        </w:rPr>
      </w:pPr>
      <w:r>
        <w:rPr>
          <w:rFonts w:hint="eastAsia"/>
          <w:color w:val="00B0F0"/>
          <w:sz w:val="22"/>
        </w:rPr>
        <w:t>（1）暂列金额：</w:t>
      </w:r>
      <w:r>
        <w:rPr>
          <w:rFonts w:hint="eastAsia"/>
          <w:color w:val="FF0000"/>
          <w:sz w:val="22"/>
          <w:lang w:val="en-US" w:eastAsia="zh-CN"/>
        </w:rPr>
        <w:t>15362.48元</w:t>
      </w:r>
      <w:r>
        <w:rPr>
          <w:rFonts w:hint="eastAsia"/>
          <w:color w:val="FF0000"/>
          <w:sz w:val="22"/>
        </w:rPr>
        <w:t>。</w:t>
      </w:r>
      <w:bookmarkStart w:id="0" w:name="_GoBack"/>
      <w:bookmarkEnd w:id="0"/>
    </w:p>
    <w:p>
      <w:pPr>
        <w:spacing w:line="360" w:lineRule="auto"/>
        <w:ind w:firstLine="440" w:firstLineChars="200"/>
        <w:rPr>
          <w:color w:val="00B0F0"/>
          <w:sz w:val="22"/>
        </w:rPr>
      </w:pPr>
      <w:r>
        <w:rPr>
          <w:rFonts w:hint="eastAsia"/>
          <w:color w:val="00B0F0"/>
          <w:sz w:val="22"/>
        </w:rPr>
        <w:t>（2）暂估价：</w:t>
      </w:r>
      <w:r>
        <w:rPr>
          <w:rFonts w:hint="eastAsia"/>
          <w:color w:val="FF0000"/>
          <w:sz w:val="22"/>
          <w:lang w:val="en-US" w:eastAsia="zh-CN"/>
        </w:rPr>
        <w:t>无</w:t>
      </w:r>
      <w:r>
        <w:rPr>
          <w:rFonts w:hint="eastAsia"/>
          <w:color w:val="FF0000"/>
          <w:sz w:val="22"/>
        </w:rPr>
        <w:t>。</w:t>
      </w:r>
    </w:p>
    <w:p>
      <w:pPr>
        <w:spacing w:line="360" w:lineRule="auto"/>
        <w:rPr>
          <w:sz w:val="28"/>
          <w:szCs w:val="28"/>
        </w:rPr>
      </w:pPr>
      <w:r>
        <w:rPr>
          <w:rFonts w:hint="eastAsia"/>
          <w:sz w:val="28"/>
          <w:szCs w:val="28"/>
        </w:rPr>
        <w:t>五、图纸及工程量计算中的相关说明</w:t>
      </w:r>
    </w:p>
    <w:p>
      <w:pPr>
        <w:spacing w:line="360" w:lineRule="auto"/>
        <w:ind w:firstLine="440" w:firstLineChars="200"/>
        <w:rPr>
          <w:color w:val="00B0F0"/>
          <w:sz w:val="22"/>
        </w:rPr>
      </w:pPr>
      <w:r>
        <w:rPr>
          <w:rFonts w:hint="eastAsia"/>
          <w:color w:val="00B0F0"/>
          <w:sz w:val="22"/>
        </w:rPr>
        <w:t>1、通用部分</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rPr>
        <w:t>1</w:t>
      </w:r>
      <w:r>
        <w:rPr>
          <w:rFonts w:hint="eastAsia"/>
          <w:color w:val="00B0F0"/>
          <w:sz w:val="22"/>
          <w:lang w:eastAsia="zh-CN"/>
        </w:rPr>
        <w:t>）</w:t>
      </w:r>
      <w:r>
        <w:rPr>
          <w:rFonts w:hint="eastAsia"/>
          <w:color w:val="00B0F0"/>
          <w:sz w:val="22"/>
        </w:rPr>
        <w:t>投标人在投标报价时结合现场实际情况考虑夜间施工及围挡防护安全，结算时不再调整；</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rPr>
        <w:t>2</w:t>
      </w:r>
      <w:r>
        <w:rPr>
          <w:rFonts w:hint="eastAsia"/>
          <w:color w:val="00B0F0"/>
          <w:sz w:val="22"/>
          <w:lang w:eastAsia="zh-CN"/>
        </w:rPr>
        <w:t>）</w:t>
      </w:r>
      <w:r>
        <w:rPr>
          <w:rFonts w:hint="eastAsia"/>
          <w:color w:val="00B0F0"/>
          <w:sz w:val="22"/>
        </w:rPr>
        <w:t>本工程所需报验、报检费用甲方不予承担，投标人自行考虑计入投标报价；</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rPr>
        <w:t>3</w:t>
      </w:r>
      <w:r>
        <w:rPr>
          <w:rFonts w:hint="eastAsia"/>
          <w:color w:val="00B0F0"/>
          <w:sz w:val="22"/>
          <w:lang w:eastAsia="zh-CN"/>
        </w:rPr>
        <w:t>）</w:t>
      </w:r>
      <w:r>
        <w:rPr>
          <w:rFonts w:hint="eastAsia"/>
          <w:color w:val="00B0F0"/>
          <w:sz w:val="22"/>
        </w:rPr>
        <w:t>措施费项目投标单位可自行增添内容，自行报价，未计放部分按优惠考虑，结算时不再调整，投标人在报价中应充分考虑所涉及的各项措施费及风险因素后再进行报价，不可竞争费按规定报价；</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rPr>
        <w:t>4</w:t>
      </w:r>
      <w:r>
        <w:rPr>
          <w:rFonts w:hint="eastAsia"/>
          <w:color w:val="00B0F0"/>
          <w:sz w:val="22"/>
          <w:lang w:eastAsia="zh-CN"/>
        </w:rPr>
        <w:t>）</w:t>
      </w:r>
      <w:r>
        <w:rPr>
          <w:rFonts w:hint="eastAsia"/>
          <w:color w:val="00B0F0"/>
          <w:sz w:val="22"/>
        </w:rPr>
        <w:t>施工现场、交通运输情况及自然地理条件由投标人自行现场勘察，应充分考虑本工程场地现状的特点，可能对工程施工造成的影响并由此增加的费用等，做出考量一并考虑在投标报价中；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rPr>
        <w:t>5</w:t>
      </w:r>
      <w:r>
        <w:rPr>
          <w:rFonts w:hint="eastAsia"/>
          <w:color w:val="00B0F0"/>
          <w:sz w:val="22"/>
          <w:lang w:eastAsia="zh-CN"/>
        </w:rPr>
        <w:t>）</w:t>
      </w:r>
      <w:r>
        <w:rPr>
          <w:rFonts w:hint="eastAsia"/>
          <w:color w:val="00B0F0"/>
          <w:sz w:val="22"/>
        </w:rPr>
        <w:t>清单中项目特征描述不详处，以图纸为准，投标报价时应考虑图纸所示施工要求等一切费用；</w:t>
      </w:r>
    </w:p>
    <w:p>
      <w:pPr>
        <w:spacing w:line="360" w:lineRule="auto"/>
        <w:ind w:firstLine="440" w:firstLineChars="200"/>
        <w:rPr>
          <w:color w:val="00B0F0"/>
          <w:sz w:val="22"/>
        </w:rPr>
      </w:pPr>
      <w:r>
        <w:rPr>
          <w:rFonts w:hint="eastAsia"/>
          <w:color w:val="00B0F0"/>
          <w:sz w:val="22"/>
          <w:lang w:eastAsia="zh-CN"/>
        </w:rPr>
        <w:t>（</w:t>
      </w:r>
      <w:r>
        <w:rPr>
          <w:rFonts w:hint="eastAsia"/>
          <w:color w:val="00B0F0"/>
          <w:sz w:val="22"/>
        </w:rPr>
        <w:t>6</w:t>
      </w:r>
      <w:r>
        <w:rPr>
          <w:rFonts w:hint="eastAsia"/>
          <w:color w:val="00B0F0"/>
          <w:sz w:val="22"/>
          <w:lang w:eastAsia="zh-CN"/>
        </w:rPr>
        <w:t>）</w:t>
      </w:r>
      <w:r>
        <w:rPr>
          <w:rFonts w:hint="eastAsia"/>
          <w:color w:val="00B0F0"/>
          <w:sz w:val="22"/>
        </w:rPr>
        <w:t>工程量清单应与招标文件、招标项目图纸等文件结合起来查阅与理解。工程量清单中所描述的项目特征仅为招标人对该分部分项工程特征的概述，而非是工程特征的全面描述，报价时必须按施工图纸及相关的国家规范的要求。</w:t>
      </w:r>
    </w:p>
    <w:p>
      <w:pPr>
        <w:spacing w:line="360" w:lineRule="auto"/>
        <w:ind w:firstLine="440" w:firstLineChars="200"/>
        <w:rPr>
          <w:color w:val="00B0F0"/>
          <w:sz w:val="22"/>
        </w:rPr>
      </w:pPr>
      <w:r>
        <w:rPr>
          <w:rFonts w:hint="eastAsia"/>
          <w:color w:val="00B0F0"/>
          <w:sz w:val="22"/>
          <w:lang w:val="en-US" w:eastAsia="zh-CN"/>
        </w:rPr>
        <w:t>2</w:t>
      </w:r>
      <w:r>
        <w:rPr>
          <w:rFonts w:hint="eastAsia"/>
          <w:color w:val="00B0F0"/>
          <w:sz w:val="22"/>
        </w:rPr>
        <w:t>、安装部分</w:t>
      </w:r>
    </w:p>
    <w:p>
      <w:pPr>
        <w:spacing w:line="360" w:lineRule="auto"/>
        <w:ind w:firstLine="440" w:firstLineChars="200"/>
        <w:rPr>
          <w:rFonts w:hint="default"/>
          <w:color w:val="00B0F0"/>
          <w:sz w:val="22"/>
          <w:lang w:val="en-US" w:eastAsia="zh-CN"/>
        </w:rPr>
      </w:pPr>
      <w:r>
        <w:rPr>
          <w:rFonts w:hint="eastAsia"/>
          <w:color w:val="00B0F0"/>
          <w:sz w:val="22"/>
          <w:lang w:eastAsia="zh-CN"/>
        </w:rPr>
        <w:t>（</w:t>
      </w:r>
      <w:r>
        <w:rPr>
          <w:rFonts w:hint="eastAsia"/>
          <w:color w:val="00B0F0"/>
          <w:sz w:val="22"/>
          <w:lang w:val="en-US" w:eastAsia="zh-CN"/>
        </w:rPr>
        <w:t>1）预留部分仅作为招标时预留的工作量统计，本次图纸不体现，可不具体实施安装，本次清单暂未考虑；</w:t>
      </w:r>
    </w:p>
    <w:p>
      <w:pPr>
        <w:pStyle w:val="2"/>
        <w:ind w:firstLine="440"/>
        <w:rPr>
          <w:rFonts w:hint="eastAsia"/>
          <w:color w:val="00B0F0"/>
          <w:sz w:val="22"/>
          <w:lang w:val="en-US" w:eastAsia="zh-CN"/>
        </w:rPr>
      </w:pPr>
      <w:r>
        <w:rPr>
          <w:rFonts w:hint="eastAsia"/>
          <w:color w:val="00B0F0"/>
          <w:sz w:val="22"/>
          <w:lang w:val="en-US" w:eastAsia="zh-CN"/>
        </w:rPr>
        <w:t>（2）配管包含墙体开槽费用，结算时不做调整；</w:t>
      </w:r>
    </w:p>
    <w:p>
      <w:pPr>
        <w:pStyle w:val="2"/>
        <w:ind w:firstLine="440"/>
        <w:rPr>
          <w:rFonts w:hint="default"/>
          <w:lang w:val="en-US" w:eastAsia="zh-CN"/>
        </w:rPr>
      </w:pPr>
      <w:r>
        <w:rPr>
          <w:rFonts w:hint="eastAsia"/>
          <w:color w:val="00B0F0"/>
          <w:sz w:val="22"/>
          <w:lang w:val="en-US" w:eastAsia="zh-CN"/>
        </w:rPr>
        <w:t>（3）吊顶开孔及穿墙打孔按一项综合考虑，结算时按实调整。</w:t>
      </w:r>
    </w:p>
    <w:p>
      <w:pPr>
        <w:spacing w:line="360" w:lineRule="auto"/>
        <w:rPr>
          <w:sz w:val="28"/>
          <w:szCs w:val="28"/>
        </w:rPr>
      </w:pPr>
      <w:r>
        <w:rPr>
          <w:rFonts w:hint="eastAsia"/>
          <w:sz w:val="28"/>
          <w:szCs w:val="28"/>
        </w:rPr>
        <w:t>六、主要材料设备</w:t>
      </w:r>
    </w:p>
    <w:p>
      <w:pPr>
        <w:spacing w:line="360" w:lineRule="auto"/>
        <w:ind w:firstLine="440" w:firstLineChars="200"/>
        <w:rPr>
          <w:sz w:val="22"/>
        </w:rPr>
      </w:pPr>
      <w:r>
        <w:rPr>
          <w:rFonts w:hint="eastAsia"/>
          <w:sz w:val="22"/>
        </w:rPr>
        <w:t>（一）投标人负责采购的主要材料设备</w:t>
      </w:r>
    </w:p>
    <w:p>
      <w:pPr>
        <w:spacing w:line="360" w:lineRule="auto"/>
        <w:ind w:firstLine="440" w:firstLineChars="20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pPr>
        <w:spacing w:line="360" w:lineRule="auto"/>
        <w:ind w:firstLine="440" w:firstLineChars="200"/>
        <w:rPr>
          <w:sz w:val="22"/>
        </w:rPr>
      </w:pPr>
      <w:r>
        <w:rPr>
          <w:rFonts w:hint="eastAsia"/>
          <w:sz w:val="22"/>
        </w:rPr>
        <w:t>1、主要材料品牌推荐表如下：</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843"/>
        <w:gridCol w:w="2410"/>
        <w:gridCol w:w="2668"/>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line="360" w:lineRule="auto"/>
              <w:jc w:val="center"/>
              <w:rPr>
                <w:color w:val="00B0F0"/>
                <w:sz w:val="22"/>
              </w:rPr>
            </w:pPr>
            <w:r>
              <w:rPr>
                <w:rFonts w:hint="eastAsia"/>
                <w:color w:val="00B0F0"/>
                <w:sz w:val="22"/>
              </w:rPr>
              <w:t>序号</w:t>
            </w:r>
          </w:p>
        </w:tc>
        <w:tc>
          <w:tcPr>
            <w:tcW w:w="1843" w:type="dxa"/>
          </w:tcPr>
          <w:p>
            <w:pPr>
              <w:spacing w:line="360" w:lineRule="auto"/>
              <w:jc w:val="center"/>
              <w:rPr>
                <w:color w:val="00B0F0"/>
                <w:sz w:val="22"/>
              </w:rPr>
            </w:pPr>
            <w:r>
              <w:rPr>
                <w:rFonts w:hint="eastAsia"/>
                <w:color w:val="00B0F0"/>
                <w:sz w:val="22"/>
              </w:rPr>
              <w:t>材料设备名称</w:t>
            </w:r>
          </w:p>
        </w:tc>
        <w:tc>
          <w:tcPr>
            <w:tcW w:w="2410" w:type="dxa"/>
          </w:tcPr>
          <w:p>
            <w:pPr>
              <w:spacing w:line="360" w:lineRule="auto"/>
              <w:jc w:val="center"/>
              <w:rPr>
                <w:color w:val="00B0F0"/>
                <w:sz w:val="22"/>
              </w:rPr>
            </w:pPr>
            <w:r>
              <w:rPr>
                <w:rFonts w:hint="eastAsia"/>
                <w:color w:val="00B0F0"/>
                <w:sz w:val="22"/>
              </w:rPr>
              <w:t>可选品牌、系列、型号</w:t>
            </w:r>
          </w:p>
        </w:tc>
        <w:tc>
          <w:tcPr>
            <w:tcW w:w="2668" w:type="dxa"/>
          </w:tcPr>
          <w:p>
            <w:pPr>
              <w:spacing w:line="360" w:lineRule="auto"/>
              <w:jc w:val="center"/>
              <w:rPr>
                <w:color w:val="00B0F0"/>
                <w:sz w:val="22"/>
              </w:rPr>
            </w:pPr>
            <w:r>
              <w:rPr>
                <w:rFonts w:hint="eastAsia"/>
                <w:color w:val="00B0F0"/>
                <w:sz w:val="22"/>
              </w:rPr>
              <w:t>生产商全称</w:t>
            </w:r>
          </w:p>
        </w:tc>
        <w:tc>
          <w:tcPr>
            <w:tcW w:w="926" w:type="dxa"/>
          </w:tcPr>
          <w:p>
            <w:pPr>
              <w:spacing w:line="360" w:lineRule="auto"/>
              <w:jc w:val="center"/>
              <w:rPr>
                <w:color w:val="00B0F0"/>
                <w:sz w:val="22"/>
              </w:rPr>
            </w:pPr>
            <w:r>
              <w:rPr>
                <w:rFonts w:hint="eastAsia"/>
                <w:color w:val="00B0F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spacing w:line="360" w:lineRule="auto"/>
              <w:jc w:val="center"/>
              <w:rPr>
                <w:rFonts w:hint="default"/>
                <w:color w:val="FF0000"/>
                <w:sz w:val="22"/>
                <w:lang w:val="en-US" w:eastAsia="zh-CN"/>
              </w:rPr>
            </w:pPr>
            <w:r>
              <w:rPr>
                <w:rFonts w:hint="eastAsia"/>
                <w:color w:val="FF0000"/>
                <w:sz w:val="22"/>
                <w:lang w:val="en-US" w:eastAsia="zh-CN"/>
              </w:rPr>
              <w:t>1</w:t>
            </w:r>
          </w:p>
        </w:tc>
        <w:tc>
          <w:tcPr>
            <w:tcW w:w="1843" w:type="dxa"/>
            <w:vMerge w:val="restart"/>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综合布线系统（面板、模块、双绞线、光纤、光缆、网络跳线、光纤跳线、尾纤、配线架、理线器、跳线架、机柜等）</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百盛</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美国百盛控股集团有限公司</w:t>
            </w:r>
          </w:p>
        </w:tc>
        <w:tc>
          <w:tcPr>
            <w:tcW w:w="926" w:type="dxa"/>
            <w:vAlign w:val="center"/>
          </w:tcPr>
          <w:p>
            <w:pPr>
              <w:jc w:val="center"/>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rFonts w:hint="eastAsia"/>
                <w:color w:val="FF0000"/>
                <w:sz w:val="22"/>
                <w:lang w:val="en-US" w:eastAsia="zh-CN"/>
              </w:rPr>
            </w:pPr>
          </w:p>
        </w:tc>
        <w:tc>
          <w:tcPr>
            <w:tcW w:w="1843" w:type="dxa"/>
            <w:vMerge w:val="continue"/>
            <w:vAlign w:val="center"/>
          </w:tcPr>
          <w:p>
            <w:pPr>
              <w:jc w:val="center"/>
              <w:rPr>
                <w:rFonts w:hint="eastAsia" w:ascii="宋体" w:hAnsi="宋体" w:eastAsia="宋体" w:cs="宋体"/>
                <w:i w:val="0"/>
                <w:iCs w:val="0"/>
                <w:color w:val="FF0000"/>
                <w:kern w:val="0"/>
                <w:sz w:val="20"/>
                <w:szCs w:val="20"/>
                <w:u w:val="none"/>
                <w:lang w:val="en-US" w:eastAsia="zh-CN" w:bidi="ar"/>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罗格朗</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TCL—罗格朗国际电工（惠州）有限公司</w:t>
            </w:r>
          </w:p>
        </w:tc>
        <w:tc>
          <w:tcPr>
            <w:tcW w:w="926" w:type="dxa"/>
            <w:vAlign w:val="center"/>
          </w:tcPr>
          <w:p>
            <w:pPr>
              <w:jc w:val="center"/>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rFonts w:hint="eastAsia"/>
                <w:color w:val="FF0000"/>
                <w:sz w:val="22"/>
                <w:lang w:val="en-US" w:eastAsia="zh-CN"/>
              </w:rPr>
            </w:pPr>
          </w:p>
        </w:tc>
        <w:tc>
          <w:tcPr>
            <w:tcW w:w="1843" w:type="dxa"/>
            <w:vMerge w:val="continue"/>
            <w:vAlign w:val="center"/>
          </w:tcPr>
          <w:p>
            <w:pPr>
              <w:jc w:val="center"/>
              <w:rPr>
                <w:rFonts w:hint="eastAsia" w:ascii="宋体" w:hAnsi="宋体" w:eastAsia="宋体" w:cs="宋体"/>
                <w:i w:val="0"/>
                <w:iCs w:val="0"/>
                <w:color w:val="FF0000"/>
                <w:kern w:val="0"/>
                <w:sz w:val="20"/>
                <w:szCs w:val="20"/>
                <w:u w:val="none"/>
                <w:lang w:val="en-US" w:eastAsia="zh-CN" w:bidi="ar"/>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莫仕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Molex</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莫仕投资（中国）有限公司</w:t>
            </w:r>
          </w:p>
        </w:tc>
        <w:tc>
          <w:tcPr>
            <w:tcW w:w="926" w:type="dxa"/>
            <w:vAlign w:val="center"/>
          </w:tcPr>
          <w:p>
            <w:pPr>
              <w:jc w:val="center"/>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rFonts w:hint="eastAsia"/>
                <w:color w:val="FF0000"/>
                <w:sz w:val="22"/>
                <w:lang w:val="en-US" w:eastAsia="zh-CN"/>
              </w:rPr>
            </w:pPr>
          </w:p>
        </w:tc>
        <w:tc>
          <w:tcPr>
            <w:tcW w:w="1843" w:type="dxa"/>
            <w:vMerge w:val="continue"/>
            <w:vAlign w:val="center"/>
          </w:tcPr>
          <w:p>
            <w:pPr>
              <w:jc w:val="center"/>
              <w:rPr>
                <w:rFonts w:hint="eastAsia" w:ascii="宋体" w:hAnsi="宋体" w:eastAsia="宋体" w:cs="宋体"/>
                <w:i w:val="0"/>
                <w:iCs w:val="0"/>
                <w:color w:val="FF0000"/>
                <w:kern w:val="0"/>
                <w:sz w:val="20"/>
                <w:szCs w:val="20"/>
                <w:u w:val="none"/>
                <w:lang w:val="en-US" w:eastAsia="zh-CN" w:bidi="ar"/>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科博</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科博（宁波）通信技术有限公司</w:t>
            </w:r>
          </w:p>
        </w:tc>
        <w:tc>
          <w:tcPr>
            <w:tcW w:w="926" w:type="dxa"/>
            <w:vAlign w:val="center"/>
          </w:tcPr>
          <w:p>
            <w:pPr>
              <w:jc w:val="center"/>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spacing w:line="360" w:lineRule="auto"/>
              <w:jc w:val="center"/>
              <w:rPr>
                <w:rFonts w:hint="eastAsia" w:eastAsiaTheme="minorEastAsia"/>
                <w:color w:val="FF0000"/>
                <w:sz w:val="22"/>
                <w:lang w:val="en-US" w:eastAsia="zh-CN"/>
              </w:rPr>
            </w:pPr>
            <w:r>
              <w:rPr>
                <w:rFonts w:hint="eastAsia"/>
                <w:color w:val="FF0000"/>
                <w:sz w:val="22"/>
                <w:lang w:val="en-US" w:eastAsia="zh-CN"/>
              </w:rPr>
              <w:t>2</w:t>
            </w:r>
          </w:p>
        </w:tc>
        <w:tc>
          <w:tcPr>
            <w:tcW w:w="1843" w:type="dxa"/>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FF0000"/>
                <w:kern w:val="0"/>
                <w:sz w:val="20"/>
                <w:szCs w:val="20"/>
                <w:u w:val="none"/>
                <w:lang w:val="en-US" w:eastAsia="zh-CN" w:bidi="ar"/>
              </w:rPr>
              <w:t>弱电线缆（除综合布线系统外弱电电源、控制、信号等线缆）</w:t>
            </w: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天诚</w:t>
            </w:r>
          </w:p>
        </w:tc>
        <w:tc>
          <w:tcPr>
            <w:tcW w:w="2668"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江苏天诚智能集团有限公司</w:t>
            </w:r>
          </w:p>
        </w:tc>
        <w:tc>
          <w:tcPr>
            <w:tcW w:w="926" w:type="dxa"/>
            <w:vAlign w:val="center"/>
          </w:tcPr>
          <w:p>
            <w:pPr>
              <w:jc w:val="center"/>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帝一</w:t>
            </w:r>
          </w:p>
        </w:tc>
        <w:tc>
          <w:tcPr>
            <w:tcW w:w="2668"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江苏帝一集团有限公司</w:t>
            </w:r>
          </w:p>
        </w:tc>
        <w:tc>
          <w:tcPr>
            <w:tcW w:w="926" w:type="dxa"/>
            <w:vAlign w:val="center"/>
          </w:tcPr>
          <w:p>
            <w:pPr>
              <w:jc w:val="center"/>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联通</w:t>
            </w:r>
          </w:p>
        </w:tc>
        <w:tc>
          <w:tcPr>
            <w:tcW w:w="2668"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江苏联通电缆有限公司</w:t>
            </w:r>
          </w:p>
        </w:tc>
        <w:tc>
          <w:tcPr>
            <w:tcW w:w="926" w:type="dxa"/>
            <w:vAlign w:val="center"/>
          </w:tcPr>
          <w:p>
            <w:pPr>
              <w:jc w:val="center"/>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spacing w:line="360" w:lineRule="auto"/>
              <w:jc w:val="center"/>
              <w:rPr>
                <w:rFonts w:hint="eastAsia" w:eastAsiaTheme="minorEastAsia"/>
                <w:color w:val="FF0000"/>
                <w:sz w:val="22"/>
                <w:lang w:val="en-US" w:eastAsia="zh-CN"/>
              </w:rPr>
            </w:pPr>
            <w:r>
              <w:rPr>
                <w:rFonts w:hint="eastAsia"/>
                <w:color w:val="auto"/>
                <w:sz w:val="22"/>
                <w:lang w:val="en-US" w:eastAsia="zh-CN"/>
              </w:rPr>
              <w:t>3</w:t>
            </w:r>
          </w:p>
        </w:tc>
        <w:tc>
          <w:tcPr>
            <w:tcW w:w="1843" w:type="dxa"/>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网络设备</w:t>
            </w: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锐捷</w:t>
            </w:r>
          </w:p>
        </w:tc>
        <w:tc>
          <w:tcPr>
            <w:tcW w:w="2668"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福建星网锐捷网络有限公司</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tcPr>
          <w:p>
            <w:pPr>
              <w:spacing w:line="360" w:lineRule="auto"/>
              <w:rPr>
                <w:color w:val="FF0000"/>
                <w:sz w:val="22"/>
              </w:rPr>
            </w:pPr>
          </w:p>
        </w:tc>
        <w:tc>
          <w:tcPr>
            <w:tcW w:w="1843"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新华三</w:t>
            </w:r>
          </w:p>
        </w:tc>
        <w:tc>
          <w:tcPr>
            <w:tcW w:w="2668"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新华三技术有限公司</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tcPr>
          <w:p>
            <w:pPr>
              <w:spacing w:line="360" w:lineRule="auto"/>
              <w:rPr>
                <w:color w:val="FF0000"/>
                <w:sz w:val="22"/>
              </w:rPr>
            </w:pPr>
          </w:p>
        </w:tc>
        <w:tc>
          <w:tcPr>
            <w:tcW w:w="1843"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华为</w:t>
            </w:r>
          </w:p>
        </w:tc>
        <w:tc>
          <w:tcPr>
            <w:tcW w:w="2668" w:type="dxa"/>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华为技术有限公司</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bidi w:val="0"/>
              <w:jc w:val="center"/>
              <w:rPr>
                <w:rFonts w:hint="default"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4</w:t>
            </w:r>
          </w:p>
        </w:tc>
        <w:tc>
          <w:tcPr>
            <w:tcW w:w="1843" w:type="dxa"/>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机房设备（UPS、蓄电池、精密空调等）</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台达</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中达电通股份有限公司</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tcPr>
          <w:p>
            <w:pPr>
              <w:spacing w:line="360" w:lineRule="auto"/>
              <w:rPr>
                <w:color w:val="FF0000"/>
                <w:sz w:val="22"/>
              </w:rPr>
            </w:pPr>
          </w:p>
        </w:tc>
        <w:tc>
          <w:tcPr>
            <w:tcW w:w="1843"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施耐德电气信息技术（中国）有限公司</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tcPr>
          <w:p>
            <w:pPr>
              <w:spacing w:line="360" w:lineRule="auto"/>
              <w:rPr>
                <w:color w:val="FF0000"/>
                <w:sz w:val="22"/>
              </w:rPr>
            </w:pPr>
          </w:p>
        </w:tc>
        <w:tc>
          <w:tcPr>
            <w:tcW w:w="1843"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科华</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科华数据股份有限公司</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spacing w:line="360" w:lineRule="auto"/>
              <w:jc w:val="center"/>
              <w:rPr>
                <w:rFonts w:hint="eastAsia" w:eastAsiaTheme="minorEastAsia"/>
                <w:color w:val="FF0000"/>
                <w:sz w:val="22"/>
                <w:lang w:val="en-US" w:eastAsia="zh-CN"/>
              </w:rPr>
            </w:pPr>
            <w:r>
              <w:rPr>
                <w:rFonts w:hint="eastAsia"/>
                <w:color w:val="auto"/>
                <w:sz w:val="22"/>
                <w:lang w:val="en-US" w:eastAsia="zh-CN"/>
              </w:rPr>
              <w:t>5</w:t>
            </w:r>
          </w:p>
        </w:tc>
        <w:tc>
          <w:tcPr>
            <w:tcW w:w="1843" w:type="dxa"/>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专业音响系统</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d&amp;b audiotechnik</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d&amp;b audiotechnik Greater China Ltd</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DAS Audio</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超感官(上海)国际贸易有限公司</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HK Audio</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香港卓新集团有限公司</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KLANGFEST</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斯蒂芬斯系统股份有限公司</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spacing w:line="360" w:lineRule="auto"/>
              <w:jc w:val="center"/>
              <w:rPr>
                <w:rFonts w:hint="eastAsia" w:eastAsiaTheme="minorEastAsia"/>
                <w:color w:val="auto"/>
                <w:sz w:val="22"/>
                <w:lang w:val="en-US" w:eastAsia="zh-CN"/>
              </w:rPr>
            </w:pPr>
            <w:r>
              <w:rPr>
                <w:rFonts w:hint="eastAsia"/>
                <w:color w:val="auto"/>
                <w:sz w:val="22"/>
                <w:lang w:val="en-US" w:eastAsia="zh-CN"/>
              </w:rPr>
              <w:t>6</w:t>
            </w:r>
          </w:p>
        </w:tc>
        <w:tc>
          <w:tcPr>
            <w:tcW w:w="1843" w:type="dxa"/>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会议发言系统</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舒尔shure</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苏州舒尔贸易有限公司</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auto"/>
                <w:sz w:val="22"/>
              </w:rPr>
            </w:pPr>
          </w:p>
        </w:tc>
        <w:tc>
          <w:tcPr>
            <w:tcW w:w="1843"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森海塞尔sennheiser</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森海塞尔电子（北京）有限公司</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auto"/>
                <w:sz w:val="22"/>
              </w:rPr>
            </w:pPr>
          </w:p>
        </w:tc>
        <w:tc>
          <w:tcPr>
            <w:tcW w:w="1843"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爱科技AKG</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哈曼(中国)投资有限公司</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auto"/>
                <w:sz w:val="22"/>
              </w:rPr>
            </w:pPr>
          </w:p>
        </w:tc>
        <w:tc>
          <w:tcPr>
            <w:tcW w:w="1843"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拜亚动力beyerdynamic</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beyerdynamic GmbH &amp; Co. KG</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spacing w:line="360" w:lineRule="auto"/>
              <w:jc w:val="center"/>
              <w:rPr>
                <w:rFonts w:hint="eastAsia" w:eastAsiaTheme="minorEastAsia"/>
                <w:color w:val="auto"/>
                <w:sz w:val="22"/>
                <w:lang w:val="en-US" w:eastAsia="zh-CN"/>
              </w:rPr>
            </w:pPr>
            <w:r>
              <w:rPr>
                <w:rFonts w:hint="eastAsia"/>
                <w:color w:val="auto"/>
                <w:sz w:val="22"/>
                <w:lang w:val="en-US" w:eastAsia="zh-CN"/>
              </w:rPr>
              <w:t>7</w:t>
            </w:r>
          </w:p>
        </w:tc>
        <w:tc>
          <w:tcPr>
            <w:tcW w:w="1843" w:type="dxa"/>
            <w:vMerge w:val="restart"/>
            <w:vAlign w:val="center"/>
          </w:tcPr>
          <w:p>
            <w:pPr>
              <w:keepNext w:val="0"/>
              <w:keepLines w:val="0"/>
              <w:widowControl/>
              <w:suppressLineNumbers w:val="0"/>
              <w:jc w:val="center"/>
              <w:textAlignment w:val="center"/>
              <w:rPr>
                <w:color w:val="FF0000"/>
                <w:sz w:val="22"/>
              </w:rPr>
            </w:pPr>
            <w:r>
              <w:rPr>
                <w:rFonts w:hint="eastAsia" w:ascii="宋体" w:hAnsi="宋体" w:eastAsia="宋体" w:cs="宋体"/>
                <w:i w:val="0"/>
                <w:iCs w:val="0"/>
                <w:color w:val="000000"/>
                <w:kern w:val="0"/>
                <w:sz w:val="20"/>
                <w:szCs w:val="20"/>
                <w:u w:val="none"/>
                <w:lang w:val="en-US" w:eastAsia="zh-CN" w:bidi="ar"/>
              </w:rPr>
              <w:t>KBG管（扣压式镀锌钢导管）</w:t>
            </w: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亿泰</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北京亿泰顺兴电气有限公司</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申捷</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上海申捷管业有限公司</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优耐特</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上海禹蓝特钢材有限公司</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spacing w:line="360" w:lineRule="auto"/>
              <w:jc w:val="center"/>
              <w:rPr>
                <w:rFonts w:hint="eastAsia" w:eastAsiaTheme="minorEastAsia"/>
                <w:color w:val="auto"/>
                <w:sz w:val="22"/>
                <w:lang w:val="en-US" w:eastAsia="zh-CN"/>
              </w:rPr>
            </w:pPr>
            <w:r>
              <w:rPr>
                <w:rFonts w:hint="eastAsia"/>
                <w:color w:val="auto"/>
                <w:sz w:val="22"/>
                <w:lang w:val="en-US" w:eastAsia="zh-CN"/>
              </w:rPr>
              <w:t>8</w:t>
            </w:r>
          </w:p>
        </w:tc>
        <w:tc>
          <w:tcPr>
            <w:tcW w:w="1843" w:type="dxa"/>
            <w:vMerge w:val="restart"/>
            <w:vAlign w:val="center"/>
          </w:tcPr>
          <w:p>
            <w:pPr>
              <w:jc w:val="center"/>
              <w:rPr>
                <w:color w:val="auto"/>
                <w:sz w:val="22"/>
              </w:rPr>
            </w:pPr>
            <w:r>
              <w:rPr>
                <w:rFonts w:hint="eastAsia"/>
                <w:color w:val="auto"/>
                <w:sz w:val="22"/>
              </w:rPr>
              <w:t>打铃系统</w:t>
            </w:r>
          </w:p>
        </w:tc>
        <w:tc>
          <w:tcPr>
            <w:tcW w:w="2410" w:type="dxa"/>
            <w:vAlign w:val="center"/>
          </w:tcPr>
          <w:p>
            <w:pPr>
              <w:keepNext w:val="0"/>
              <w:keepLines w:val="0"/>
              <w:widowControl/>
              <w:suppressLineNumbers w:val="0"/>
              <w:jc w:val="center"/>
              <w:textAlignment w:val="center"/>
              <w:rPr>
                <w:rFonts w:hint="default"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上海旗胜</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上海旗胜电器有限公司</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default"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ITC</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广州市保伦电子有限公司</w:t>
            </w:r>
          </w:p>
        </w:tc>
        <w:tc>
          <w:tcPr>
            <w:tcW w:w="926"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keepNext w:val="0"/>
              <w:keepLines w:val="0"/>
              <w:widowControl/>
              <w:suppressLineNumbers w:val="0"/>
              <w:jc w:val="center"/>
              <w:textAlignment w:val="center"/>
              <w:rPr>
                <w:rFonts w:hint="default"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迪士普</w:t>
            </w:r>
          </w:p>
        </w:tc>
        <w:tc>
          <w:tcPr>
            <w:tcW w:w="2668" w:type="dxa"/>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 xml:space="preserve"> 广州市迪士普音响科技有限公司</w:t>
            </w:r>
          </w:p>
        </w:tc>
        <w:tc>
          <w:tcPr>
            <w:tcW w:w="926" w:type="dxa"/>
          </w:tcPr>
          <w:p>
            <w:pPr>
              <w:spacing w:line="360" w:lineRule="auto"/>
              <w:rPr>
                <w:color w:val="FF0000"/>
                <w:sz w:val="22"/>
              </w:rPr>
            </w:pPr>
          </w:p>
        </w:tc>
      </w:tr>
    </w:tbl>
    <w:p>
      <w:pPr>
        <w:spacing w:line="360" w:lineRule="auto"/>
        <w:ind w:firstLine="440" w:firstLineChars="200"/>
        <w:rPr>
          <w:sz w:val="22"/>
        </w:rPr>
      </w:pPr>
      <w:r>
        <w:rPr>
          <w:rFonts w:hint="eastAsia"/>
          <w:sz w:val="22"/>
        </w:rPr>
        <w:t>2、主要材料技术标准和质量要求如下：</w:t>
      </w:r>
    </w:p>
    <w:p>
      <w:pPr>
        <w:spacing w:line="360" w:lineRule="auto"/>
        <w:ind w:firstLine="440" w:firstLineChars="200"/>
        <w:rPr>
          <w:rFonts w:hint="eastAsia"/>
          <w:sz w:val="22"/>
        </w:rPr>
      </w:pPr>
      <w:r>
        <w:rPr>
          <w:rFonts w:hint="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pStyle w:val="2"/>
        <w:rPr>
          <w:rFonts w:hint="default" w:eastAsiaTheme="minorEastAsia"/>
          <w:lang w:val="en-US" w:eastAsia="zh-CN"/>
        </w:rPr>
      </w:pPr>
      <w:r>
        <w:rPr>
          <w:rFonts w:hint="eastAsia"/>
          <w:sz w:val="22"/>
          <w:lang w:val="en-US" w:eastAsia="zh-CN"/>
        </w:rPr>
        <w:t xml:space="preserve">    无。</w:t>
      </w:r>
    </w:p>
    <w:p>
      <w:pPr>
        <w:numPr>
          <w:ilvl w:val="0"/>
          <w:numId w:val="1"/>
        </w:numPr>
        <w:spacing w:line="360" w:lineRule="auto"/>
        <w:ind w:firstLine="440" w:firstLineChars="200"/>
      </w:pPr>
      <w:r>
        <w:rPr>
          <w:rFonts w:hint="eastAsia"/>
          <w:sz w:val="22"/>
        </w:rPr>
        <w:t>招标人自行采购的主要材料设备</w:t>
      </w:r>
    </w:p>
    <w:p>
      <w:pPr>
        <w:pStyle w:val="2"/>
        <w:rPr>
          <w:rFonts w:hint="default" w:eastAsiaTheme="minorEastAsia"/>
          <w:lang w:val="en-US" w:eastAsia="zh-CN"/>
        </w:rPr>
      </w:pPr>
      <w:r>
        <w:rPr>
          <w:rFonts w:hint="eastAsia"/>
          <w:color w:val="FF0000"/>
          <w:sz w:val="22"/>
          <w:lang w:val="en-US" w:eastAsia="zh-CN"/>
        </w:rPr>
        <w:t xml:space="preserve">    无。</w:t>
      </w:r>
    </w:p>
    <w:p>
      <w:pPr>
        <w:spacing w:line="360" w:lineRule="auto"/>
        <w:rPr>
          <w:sz w:val="28"/>
          <w:szCs w:val="28"/>
        </w:rPr>
      </w:pPr>
      <w:r>
        <w:rPr>
          <w:rFonts w:hint="eastAsia"/>
          <w:sz w:val="28"/>
          <w:szCs w:val="28"/>
        </w:rPr>
        <w:t>七、其他说明</w:t>
      </w:r>
    </w:p>
    <w:p>
      <w:pPr>
        <w:spacing w:line="360" w:lineRule="auto"/>
        <w:ind w:firstLine="440" w:firstLineChars="200"/>
        <w:rPr>
          <w:color w:val="FF0000"/>
          <w:sz w:val="22"/>
        </w:rPr>
      </w:pPr>
      <w:r>
        <w:rPr>
          <w:rFonts w:hint="eastAsia"/>
          <w:sz w:val="22"/>
        </w:rPr>
        <w:t>1、投标人应在认真理解和熟悉招标文件和施工图纸，经现场踏勘后，综合考虑清单中各分部分项工程包括管理费、利润、风险费、规费、税金等全部费用清单报价，无论清单特征中是否描述，投标人综合单价均应包含完成本清单项目所有工作内容的费用。</w:t>
      </w:r>
    </w:p>
    <w:p>
      <w:pPr>
        <w:spacing w:line="360" w:lineRule="auto"/>
        <w:ind w:firstLine="440" w:firstLineChars="200"/>
        <w:rPr>
          <w:sz w:val="22"/>
        </w:rPr>
      </w:pPr>
      <w:r>
        <w:rPr>
          <w:rFonts w:hint="eastAsia"/>
          <w:sz w:val="22"/>
        </w:rPr>
        <w:t>2、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2F0DB"/>
    <w:multiLevelType w:val="singleLevel"/>
    <w:tmpl w:val="86A2F0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iMDA4M2Q2NWY5NWU3MzI1MjYxMjI2MmYyODNmZTYifQ=="/>
  </w:docVars>
  <w:rsids>
    <w:rsidRoot w:val="007216EE"/>
    <w:rsid w:val="000918CE"/>
    <w:rsid w:val="000B4442"/>
    <w:rsid w:val="000E4EFC"/>
    <w:rsid w:val="000F0F71"/>
    <w:rsid w:val="00110532"/>
    <w:rsid w:val="001918E0"/>
    <w:rsid w:val="002365A9"/>
    <w:rsid w:val="002C7843"/>
    <w:rsid w:val="002F4B81"/>
    <w:rsid w:val="0035412E"/>
    <w:rsid w:val="00365827"/>
    <w:rsid w:val="00394EF6"/>
    <w:rsid w:val="003E6A22"/>
    <w:rsid w:val="00403F89"/>
    <w:rsid w:val="00480D2C"/>
    <w:rsid w:val="004D0895"/>
    <w:rsid w:val="005136AA"/>
    <w:rsid w:val="0052678C"/>
    <w:rsid w:val="00531B35"/>
    <w:rsid w:val="00591850"/>
    <w:rsid w:val="005A65A1"/>
    <w:rsid w:val="005C1C94"/>
    <w:rsid w:val="00640023"/>
    <w:rsid w:val="006C1D24"/>
    <w:rsid w:val="007216EE"/>
    <w:rsid w:val="007E10E0"/>
    <w:rsid w:val="00847CE5"/>
    <w:rsid w:val="00864452"/>
    <w:rsid w:val="00876B6F"/>
    <w:rsid w:val="00917415"/>
    <w:rsid w:val="00934BB6"/>
    <w:rsid w:val="00955791"/>
    <w:rsid w:val="00965503"/>
    <w:rsid w:val="009E6462"/>
    <w:rsid w:val="00AA5070"/>
    <w:rsid w:val="00AD1268"/>
    <w:rsid w:val="00AE6169"/>
    <w:rsid w:val="00AF3547"/>
    <w:rsid w:val="00BF0684"/>
    <w:rsid w:val="00C30855"/>
    <w:rsid w:val="00D3387F"/>
    <w:rsid w:val="00D77557"/>
    <w:rsid w:val="00D92B20"/>
    <w:rsid w:val="00EE0655"/>
    <w:rsid w:val="00EF2517"/>
    <w:rsid w:val="00F54A72"/>
    <w:rsid w:val="08C84C0E"/>
    <w:rsid w:val="174650D1"/>
    <w:rsid w:val="175354A7"/>
    <w:rsid w:val="175B002B"/>
    <w:rsid w:val="1A165B08"/>
    <w:rsid w:val="26E32CD9"/>
    <w:rsid w:val="291B6D8B"/>
    <w:rsid w:val="377D62EC"/>
    <w:rsid w:val="3F396523"/>
    <w:rsid w:val="45D54414"/>
    <w:rsid w:val="64A44BDF"/>
    <w:rsid w:val="7CE42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000FF"/>
      <w:u w:val="single"/>
    </w:rPr>
  </w:style>
  <w:style w:type="character" w:customStyle="1" w:styleId="10">
    <w:name w:val="页眉 Char"/>
    <w:basedOn w:val="8"/>
    <w:link w:val="4"/>
    <w:qFormat/>
    <w:uiPriority w:val="99"/>
    <w:rPr>
      <w:sz w:val="18"/>
      <w:szCs w:val="18"/>
    </w:rPr>
  </w:style>
  <w:style w:type="character" w:customStyle="1" w:styleId="11">
    <w:name w:val="页脚 Char"/>
    <w:basedOn w:val="8"/>
    <w:link w:val="3"/>
    <w:qFormat/>
    <w:uiPriority w:val="99"/>
    <w:rPr>
      <w:sz w:val="18"/>
      <w:szCs w:val="18"/>
    </w:rPr>
  </w:style>
  <w:style w:type="character" w:customStyle="1" w:styleId="12">
    <w:name w:val="font21"/>
    <w:basedOn w:val="8"/>
    <w:qFormat/>
    <w:uiPriority w:val="0"/>
    <w:rPr>
      <w:rFonts w:hint="eastAsia" w:ascii="宋体" w:hAnsi="宋体" w:eastAsia="宋体" w:cs="宋体"/>
      <w:color w:val="000000"/>
      <w:sz w:val="20"/>
      <w:szCs w:val="20"/>
      <w:u w:val="none"/>
    </w:rPr>
  </w:style>
  <w:style w:type="character" w:customStyle="1" w:styleId="13">
    <w:name w:val="font31"/>
    <w:basedOn w:val="8"/>
    <w:qFormat/>
    <w:uiPriority w:val="0"/>
    <w:rPr>
      <w:rFonts w:hint="eastAsia" w:ascii="宋体" w:hAnsi="宋体" w:eastAsia="宋体" w:cs="宋体"/>
      <w:color w:val="FF0000"/>
      <w:sz w:val="20"/>
      <w:szCs w:val="20"/>
      <w:u w:val="none"/>
    </w:rPr>
  </w:style>
  <w:style w:type="character" w:customStyle="1" w:styleId="14">
    <w:name w:val="font11"/>
    <w:basedOn w:val="8"/>
    <w:qFormat/>
    <w:uiPriority w:val="0"/>
    <w:rPr>
      <w:rFonts w:hint="eastAsia" w:ascii="宋体" w:hAnsi="宋体" w:eastAsia="宋体" w:cs="宋体"/>
      <w:color w:val="000000"/>
      <w:sz w:val="20"/>
      <w:szCs w:val="20"/>
      <w:u w:val="none"/>
    </w:rPr>
  </w:style>
  <w:style w:type="character" w:customStyle="1" w:styleId="15">
    <w:name w:val="font41"/>
    <w:basedOn w:val="8"/>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2306</Words>
  <Characters>2464</Characters>
  <Lines>12</Lines>
  <Paragraphs>3</Paragraphs>
  <TotalTime>3</TotalTime>
  <ScaleCrop>false</ScaleCrop>
  <LinksUpToDate>false</LinksUpToDate>
  <CharactersWithSpaces>2486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2021-05-17T06:25:00Z</dcterms:created>
  <dc:creator>lujinzhi</dc:creator>
  <cp:lastModifiedBy>佛系青年</cp:lastModifiedBy>
  <dcterms:modified xsi:type="dcterms:W3CDTF">2022-06-08T07:21:22Z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BA5EE7406BC34942B73A5C4B19E51914</vt:lpwstr>
  </property>
</Properties>
</file>