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工程量清单编制说明</w:t>
      </w:r>
    </w:p>
    <w:p>
      <w:pPr>
        <w:spacing w:line="360" w:lineRule="auto"/>
        <w:rPr>
          <w:b/>
          <w:szCs w:val="21"/>
        </w:rPr>
      </w:pPr>
      <w:r>
        <w:rPr>
          <w:rFonts w:hint="eastAsia"/>
          <w:b/>
          <w:szCs w:val="21"/>
        </w:rPr>
        <w:t>一、工程概况</w:t>
      </w:r>
    </w:p>
    <w:p>
      <w:pPr>
        <w:spacing w:line="360" w:lineRule="auto"/>
        <w:ind w:firstLine="440" w:firstLineChars="200"/>
        <w:rPr>
          <w:sz w:val="22"/>
        </w:rPr>
      </w:pPr>
      <w:r>
        <w:rPr>
          <w:rFonts w:hint="eastAsia"/>
          <w:sz w:val="22"/>
        </w:rPr>
        <w:t>1</w:t>
      </w:r>
      <w:r>
        <w:rPr>
          <w:sz w:val="22"/>
        </w:rPr>
        <w:t xml:space="preserve">. </w:t>
      </w:r>
      <w:r>
        <w:rPr>
          <w:rFonts w:hint="eastAsia"/>
          <w:sz w:val="22"/>
        </w:rPr>
        <w:t>工程名称：危险品仓库及充电站工程</w:t>
      </w:r>
    </w:p>
    <w:p>
      <w:pPr>
        <w:spacing w:line="360" w:lineRule="auto"/>
        <w:ind w:firstLine="440" w:firstLineChars="200"/>
        <w:rPr>
          <w:sz w:val="22"/>
        </w:rPr>
      </w:pPr>
      <w:r>
        <w:rPr>
          <w:rFonts w:hint="eastAsia"/>
          <w:sz w:val="22"/>
        </w:rPr>
        <w:t>2</w:t>
      </w:r>
      <w:r>
        <w:rPr>
          <w:sz w:val="22"/>
        </w:rPr>
        <w:t xml:space="preserve">. </w:t>
      </w:r>
      <w:r>
        <w:rPr>
          <w:rFonts w:hint="eastAsia"/>
          <w:sz w:val="22"/>
        </w:rPr>
        <w:t>工程地点：</w:t>
      </w:r>
      <w:r>
        <w:rPr>
          <w:rFonts w:hint="eastAsia"/>
          <w:sz w:val="22"/>
          <w:highlight w:val="none"/>
        </w:rPr>
        <w:t>仙林校区</w:t>
      </w:r>
      <w:r>
        <w:rPr>
          <w:rFonts w:hint="eastAsia"/>
          <w:sz w:val="22"/>
          <w:highlight w:val="none"/>
          <w:lang w:val="en-US" w:eastAsia="zh-CN"/>
        </w:rPr>
        <w:t>内</w:t>
      </w:r>
    </w:p>
    <w:p>
      <w:pPr>
        <w:spacing w:line="360" w:lineRule="auto"/>
        <w:ind w:firstLine="440" w:firstLineChars="200"/>
        <w:rPr>
          <w:sz w:val="22"/>
        </w:rPr>
      </w:pPr>
      <w:r>
        <w:rPr>
          <w:rFonts w:hint="eastAsia"/>
          <w:sz w:val="22"/>
        </w:rPr>
        <w:t>3</w:t>
      </w:r>
      <w:r>
        <w:rPr>
          <w:sz w:val="22"/>
        </w:rPr>
        <w:t xml:space="preserve">. </w:t>
      </w:r>
      <w:r>
        <w:rPr>
          <w:rFonts w:hint="eastAsia"/>
          <w:sz w:val="22"/>
        </w:rPr>
        <w:t>建筑规模：危险品仓库及充电站</w:t>
      </w:r>
    </w:p>
    <w:p>
      <w:pPr>
        <w:spacing w:line="360" w:lineRule="auto"/>
        <w:ind w:firstLine="440" w:firstLineChars="200"/>
        <w:rPr>
          <w:rFonts w:hint="eastAsia"/>
          <w:sz w:val="22"/>
        </w:rPr>
      </w:pPr>
      <w:r>
        <w:rPr>
          <w:rFonts w:hint="eastAsia"/>
          <w:sz w:val="22"/>
        </w:rPr>
        <w:t>4</w:t>
      </w:r>
      <w:r>
        <w:rPr>
          <w:sz w:val="22"/>
        </w:rPr>
        <w:t xml:space="preserve">. </w:t>
      </w:r>
      <w:r>
        <w:rPr>
          <w:rFonts w:hint="eastAsia"/>
          <w:sz w:val="22"/>
        </w:rPr>
        <w:t>编制范围、内容及界面：危险品仓库及充电站</w:t>
      </w:r>
      <w:r>
        <w:rPr>
          <w:rFonts w:hint="eastAsia"/>
          <w:sz w:val="22"/>
          <w:highlight w:val="none"/>
          <w:lang w:val="en-US" w:eastAsia="zh-CN"/>
        </w:rPr>
        <w:t>主体土建工程、水电工程等</w:t>
      </w:r>
    </w:p>
    <w:p>
      <w:pPr>
        <w:spacing w:line="360" w:lineRule="auto"/>
        <w:rPr>
          <w:b/>
          <w:szCs w:val="21"/>
        </w:rPr>
      </w:pPr>
      <w:r>
        <w:rPr>
          <w:rFonts w:hint="eastAsia"/>
          <w:b/>
          <w:szCs w:val="21"/>
        </w:rPr>
        <w:t>二、工程量清单编制依据</w:t>
      </w:r>
    </w:p>
    <w:p>
      <w:pPr>
        <w:spacing w:line="360" w:lineRule="auto"/>
        <w:ind w:firstLine="440" w:firstLineChars="200"/>
        <w:rPr>
          <w:rFonts w:hint="eastAsia"/>
          <w:sz w:val="22"/>
        </w:rPr>
      </w:pPr>
      <w:r>
        <w:rPr>
          <w:rFonts w:hint="eastAsia"/>
          <w:sz w:val="22"/>
        </w:rPr>
        <w:t>1.</w:t>
      </w:r>
      <w:r>
        <w:rPr>
          <w:sz w:val="22"/>
        </w:rPr>
        <w:t xml:space="preserve"> </w:t>
      </w:r>
      <w:r>
        <w:rPr>
          <w:rFonts w:hint="eastAsia"/>
          <w:sz w:val="22"/>
          <w:lang w:val="en-US" w:eastAsia="zh-CN"/>
        </w:rPr>
        <w:t>图纸</w:t>
      </w:r>
      <w:r>
        <w:rPr>
          <w:rFonts w:hint="eastAsia"/>
          <w:sz w:val="22"/>
        </w:rPr>
        <w:t>及其说明等技术资料。</w:t>
      </w:r>
    </w:p>
    <w:p>
      <w:pPr>
        <w:spacing w:line="360" w:lineRule="auto"/>
        <w:ind w:firstLine="440" w:firstLineChars="200"/>
        <w:rPr>
          <w:sz w:val="22"/>
        </w:rPr>
      </w:pPr>
      <w:r>
        <w:rPr>
          <w:rFonts w:hint="eastAsia"/>
          <w:sz w:val="22"/>
        </w:rPr>
        <w:t>2</w:t>
      </w:r>
      <w:r>
        <w:rPr>
          <w:sz w:val="22"/>
        </w:rPr>
        <w:t xml:space="preserve">. </w:t>
      </w:r>
      <w:r>
        <w:rPr>
          <w:rFonts w:hint="eastAsia"/>
          <w:sz w:val="22"/>
        </w:rPr>
        <w:t>《建设工程工程量清单计价规范》(GB50500-2013)、《市政工程工程量计算规范》(GB50857-2013)、《房屋建筑与装饰工程工程量计算规范》(GB50854-2013）、《通用安装工程工程量计算规范》（GB50856-2013）、《园林绿化工程工程量计算规范》(GB50858-2013) 及关于《建设工程工程量清单计价规范》（GB50500-2013）及其 9 本工程量计算规范的贯彻意见（苏建价〔2014〕448 号）。</w:t>
      </w:r>
    </w:p>
    <w:p>
      <w:pPr>
        <w:spacing w:line="360" w:lineRule="auto"/>
        <w:ind w:firstLine="440" w:firstLineChars="200"/>
        <w:rPr>
          <w:sz w:val="22"/>
        </w:rPr>
      </w:pPr>
      <w:r>
        <w:rPr>
          <w:sz w:val="22"/>
        </w:rPr>
        <w:t>4.</w:t>
      </w:r>
      <w:r>
        <w:rPr>
          <w:rFonts w:hint="eastAsia"/>
          <w:sz w:val="22"/>
        </w:rPr>
        <w:t xml:space="preserve"> 《江苏省建设工程费用定额》（2014）。</w:t>
      </w:r>
    </w:p>
    <w:p>
      <w:pPr>
        <w:spacing w:line="360" w:lineRule="auto"/>
        <w:ind w:firstLine="440" w:firstLineChars="200"/>
        <w:rPr>
          <w:sz w:val="22"/>
        </w:rPr>
      </w:pPr>
      <w:r>
        <w:rPr>
          <w:sz w:val="22"/>
        </w:rPr>
        <w:t>5.</w:t>
      </w:r>
      <w:r>
        <w:rPr>
          <w:rFonts w:hint="eastAsia"/>
          <w:sz w:val="22"/>
        </w:rPr>
        <w:t xml:space="preserve"> 《省住房城乡建设厅关于建筑业增值税计价政策调整的通知》苏建函价（2019）178号文。</w:t>
      </w:r>
    </w:p>
    <w:p>
      <w:pPr>
        <w:spacing w:line="360" w:lineRule="auto"/>
        <w:ind w:firstLine="440" w:firstLineChars="200"/>
        <w:rPr>
          <w:sz w:val="22"/>
        </w:rPr>
      </w:pPr>
      <w:r>
        <w:rPr>
          <w:sz w:val="22"/>
        </w:rPr>
        <w:t xml:space="preserve">6. </w:t>
      </w:r>
      <w:r>
        <w:rPr>
          <w:rFonts w:hint="eastAsia"/>
          <w:sz w:val="22"/>
        </w:rPr>
        <w:t>与建设项目相关的标准、规范、技术资料。</w:t>
      </w:r>
    </w:p>
    <w:p>
      <w:pPr>
        <w:spacing w:line="360" w:lineRule="auto"/>
        <w:ind w:firstLine="440" w:firstLineChars="200"/>
        <w:rPr>
          <w:sz w:val="22"/>
        </w:rPr>
      </w:pPr>
      <w:r>
        <w:rPr>
          <w:rFonts w:hint="eastAsia"/>
          <w:sz w:val="22"/>
        </w:rPr>
        <w:t>7</w:t>
      </w:r>
      <w:r>
        <w:rPr>
          <w:sz w:val="22"/>
        </w:rPr>
        <w:t xml:space="preserve">. </w:t>
      </w:r>
      <w:r>
        <w:rPr>
          <w:rFonts w:hint="eastAsia"/>
          <w:sz w:val="22"/>
        </w:rPr>
        <w:t>工程特点及常规施工方案。</w:t>
      </w:r>
    </w:p>
    <w:p>
      <w:pPr>
        <w:spacing w:line="360" w:lineRule="auto"/>
        <w:rPr>
          <w:b/>
          <w:szCs w:val="21"/>
        </w:rPr>
      </w:pPr>
      <w:r>
        <w:rPr>
          <w:rFonts w:hint="eastAsia"/>
          <w:b/>
          <w:szCs w:val="21"/>
        </w:rPr>
        <w:t>三、暂列金额、专业工程暂估价及总承包服务费：</w:t>
      </w:r>
    </w:p>
    <w:p>
      <w:pPr>
        <w:spacing w:line="360" w:lineRule="auto"/>
        <w:ind w:firstLine="440" w:firstLineChars="200"/>
        <w:rPr>
          <w:sz w:val="22"/>
        </w:rPr>
      </w:pPr>
      <w:r>
        <w:rPr>
          <w:rFonts w:hint="eastAsia"/>
          <w:sz w:val="22"/>
        </w:rPr>
        <w:t>1</w:t>
      </w:r>
      <w:r>
        <w:rPr>
          <w:sz w:val="22"/>
        </w:rPr>
        <w:t xml:space="preserve">. </w:t>
      </w:r>
      <w:r>
        <w:rPr>
          <w:rFonts w:hint="eastAsia"/>
          <w:sz w:val="22"/>
        </w:rPr>
        <w:t>暂列金额：</w:t>
      </w:r>
      <w:r>
        <w:rPr>
          <w:sz w:val="22"/>
          <w:u w:val="single"/>
        </w:rPr>
        <w:t xml:space="preserve"> </w:t>
      </w:r>
      <w:r>
        <w:rPr>
          <w:rFonts w:hint="eastAsia"/>
          <w:sz w:val="22"/>
          <w:u w:val="single"/>
          <w:lang w:val="en-US" w:eastAsia="zh-CN"/>
        </w:rPr>
        <w:t>17943.90元</w:t>
      </w:r>
      <w:r>
        <w:rPr>
          <w:rFonts w:hint="eastAsia"/>
          <w:sz w:val="22"/>
          <w:u w:val="single"/>
        </w:rPr>
        <w:t>；</w:t>
      </w:r>
    </w:p>
    <w:p>
      <w:pPr>
        <w:spacing w:line="360" w:lineRule="auto"/>
        <w:ind w:firstLine="440" w:firstLineChars="200"/>
        <w:rPr>
          <w:sz w:val="22"/>
          <w:u w:val="single"/>
        </w:rPr>
      </w:pPr>
      <w:r>
        <w:rPr>
          <w:rFonts w:hint="eastAsia"/>
          <w:sz w:val="22"/>
        </w:rPr>
        <w:t>2</w:t>
      </w:r>
      <w:r>
        <w:rPr>
          <w:sz w:val="22"/>
        </w:rPr>
        <w:t xml:space="preserve">. </w:t>
      </w:r>
      <w:r>
        <w:rPr>
          <w:rFonts w:hint="eastAsia"/>
          <w:sz w:val="22"/>
        </w:rPr>
        <w:t>专业工程暂估价:</w:t>
      </w:r>
      <w:r>
        <w:rPr>
          <w:sz w:val="22"/>
          <w:u w:val="single"/>
        </w:rPr>
        <w:t xml:space="preserve"> </w:t>
      </w:r>
      <w:r>
        <w:rPr>
          <w:rFonts w:hint="eastAsia"/>
          <w:sz w:val="22"/>
          <w:u w:val="single"/>
        </w:rPr>
        <w:t>不考虑；</w:t>
      </w:r>
    </w:p>
    <w:p>
      <w:pPr>
        <w:spacing w:line="360" w:lineRule="auto"/>
        <w:ind w:firstLine="440" w:firstLineChars="200"/>
        <w:rPr>
          <w:sz w:val="22"/>
          <w:u w:val="single"/>
        </w:rPr>
      </w:pPr>
      <w:r>
        <w:rPr>
          <w:rFonts w:hint="eastAsia"/>
          <w:sz w:val="22"/>
        </w:rPr>
        <w:t>3</w:t>
      </w:r>
      <w:r>
        <w:rPr>
          <w:sz w:val="22"/>
        </w:rPr>
        <w:t xml:space="preserve">. </w:t>
      </w:r>
      <w:r>
        <w:rPr>
          <w:rFonts w:hint="eastAsia"/>
          <w:sz w:val="22"/>
        </w:rPr>
        <w:t>总承包服务费：</w:t>
      </w:r>
      <w:r>
        <w:rPr>
          <w:rFonts w:hint="eastAsia"/>
          <w:sz w:val="22"/>
          <w:u w:val="single"/>
        </w:rPr>
        <w:t>不考虑。</w:t>
      </w:r>
    </w:p>
    <w:p>
      <w:pPr>
        <w:spacing w:line="360" w:lineRule="auto"/>
        <w:rPr>
          <w:b/>
          <w:szCs w:val="21"/>
        </w:rPr>
      </w:pPr>
      <w:r>
        <w:rPr>
          <w:rFonts w:hint="eastAsia"/>
          <w:b/>
          <w:szCs w:val="21"/>
        </w:rPr>
        <w:t>四、甲供材料及暂估价材料： 无。</w:t>
      </w:r>
    </w:p>
    <w:p>
      <w:pPr>
        <w:spacing w:line="360" w:lineRule="auto"/>
        <w:rPr>
          <w:b/>
          <w:szCs w:val="21"/>
        </w:rPr>
      </w:pPr>
      <w:r>
        <w:rPr>
          <w:rFonts w:hint="eastAsia"/>
          <w:b/>
          <w:szCs w:val="21"/>
        </w:rPr>
        <w:t>五、其他说明</w:t>
      </w:r>
    </w:p>
    <w:p>
      <w:pPr>
        <w:spacing w:line="360" w:lineRule="auto"/>
        <w:ind w:firstLine="440" w:firstLineChars="200"/>
        <w:rPr>
          <w:rFonts w:hint="eastAsia"/>
          <w:sz w:val="22"/>
          <w:lang w:val="en-US" w:eastAsia="zh-CN"/>
        </w:rPr>
      </w:pPr>
      <w:r>
        <w:rPr>
          <w:rFonts w:hint="eastAsia"/>
          <w:sz w:val="22"/>
          <w:lang w:val="en-US" w:eastAsia="zh-CN"/>
        </w:rPr>
        <w:t>1.本工程均为预拌砂浆；</w:t>
      </w:r>
    </w:p>
    <w:p>
      <w:pPr>
        <w:spacing w:line="360" w:lineRule="auto"/>
        <w:ind w:firstLine="440" w:firstLineChars="200"/>
        <w:rPr>
          <w:rFonts w:hint="eastAsia"/>
          <w:sz w:val="22"/>
          <w:lang w:val="en-US" w:eastAsia="zh-CN"/>
        </w:rPr>
      </w:pPr>
      <w:r>
        <w:rPr>
          <w:rFonts w:hint="eastAsia"/>
          <w:sz w:val="22"/>
          <w:lang w:val="en-US" w:eastAsia="zh-CN"/>
        </w:rPr>
        <w:t>2.本工程混凝土均为商品混凝土；</w:t>
      </w:r>
    </w:p>
    <w:p>
      <w:pPr>
        <w:spacing w:line="360" w:lineRule="auto"/>
        <w:ind w:firstLine="440" w:firstLineChars="200"/>
        <w:rPr>
          <w:rFonts w:hint="default"/>
          <w:sz w:val="22"/>
          <w:lang w:val="en-US" w:eastAsia="zh-CN"/>
        </w:rPr>
      </w:pPr>
      <w:r>
        <w:rPr>
          <w:rFonts w:hint="eastAsia"/>
          <w:sz w:val="22"/>
          <w:lang w:val="en-US" w:eastAsia="zh-CN"/>
        </w:rPr>
        <w:t>3.工程量清单中项目特征与图纸不符合的以图纸为准。</w:t>
      </w:r>
    </w:p>
    <w:p>
      <w:pPr>
        <w:spacing w:line="360" w:lineRule="auto"/>
        <w:rPr>
          <w:b/>
          <w:szCs w:val="21"/>
        </w:rPr>
      </w:pPr>
      <w:r>
        <w:rPr>
          <w:rFonts w:hint="eastAsia"/>
          <w:b/>
          <w:szCs w:val="21"/>
        </w:rPr>
        <w:t>六、主要材料设备要求</w:t>
      </w:r>
    </w:p>
    <w:p>
      <w:pPr>
        <w:spacing w:line="360" w:lineRule="auto"/>
        <w:ind w:firstLine="440" w:firstLineChars="20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pPr>
        <w:spacing w:line="360" w:lineRule="auto"/>
        <w:ind w:firstLine="440" w:firstLineChars="200"/>
        <w:rPr>
          <w:sz w:val="22"/>
        </w:rPr>
      </w:pPr>
      <w:r>
        <w:rPr>
          <w:rFonts w:hint="eastAsia"/>
          <w:sz w:val="22"/>
        </w:rPr>
        <w:t>1</w:t>
      </w:r>
      <w:r>
        <w:rPr>
          <w:sz w:val="22"/>
        </w:rPr>
        <w:t xml:space="preserve">. </w:t>
      </w:r>
      <w:r>
        <w:rPr>
          <w:rFonts w:hint="eastAsia"/>
          <w:sz w:val="22"/>
        </w:rPr>
        <w:t>主要材料品牌推荐及主要技术标准和质量要求如下：</w:t>
      </w:r>
    </w:p>
    <w:p>
      <w:pPr>
        <w:spacing w:line="360" w:lineRule="auto"/>
        <w:rPr>
          <w:sz w:val="22"/>
        </w:rPr>
      </w:pPr>
      <w:r>
        <w:rPr>
          <w:rFonts w:hint="eastAsia"/>
          <w:sz w:val="22"/>
        </w:rPr>
        <w:t xml:space="preserve">    </w:t>
      </w:r>
      <w:r>
        <w:rPr>
          <w:rFonts w:hint="eastAsia"/>
          <w:sz w:val="22"/>
          <w:lang w:val="en-US" w:eastAsia="zh-CN"/>
        </w:rPr>
        <w:t>无品牌要求</w:t>
      </w:r>
    </w:p>
    <w:p>
      <w:pPr>
        <w:spacing w:line="360" w:lineRule="auto"/>
        <w:ind w:firstLine="440" w:firstLineChars="200"/>
        <w:rPr>
          <w:sz w:val="22"/>
        </w:rPr>
      </w:pPr>
      <w:r>
        <w:rPr>
          <w:sz w:val="22"/>
        </w:rPr>
        <w:t xml:space="preserve">2. </w:t>
      </w:r>
      <w:r>
        <w:rPr>
          <w:rFonts w:hint="eastAsia"/>
          <w:sz w:val="22"/>
        </w:rPr>
        <w:t>上述技术条件是最低限</w:t>
      </w:r>
      <w:bookmarkStart w:id="0" w:name="_GoBack"/>
      <w:bookmarkEnd w:id="0"/>
      <w:r>
        <w:rPr>
          <w:rFonts w:hint="eastAsia"/>
          <w:sz w:val="22"/>
        </w:rPr>
        <w:t>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iZjllZTgwMzk3N2UxMTM1MDY0YmU1OWExOWZlNTkifQ=="/>
  </w:docVars>
  <w:rsids>
    <w:rsidRoot w:val="007216EE"/>
    <w:rsid w:val="00055734"/>
    <w:rsid w:val="000918CE"/>
    <w:rsid w:val="000B4442"/>
    <w:rsid w:val="000D49C7"/>
    <w:rsid w:val="000E4EFC"/>
    <w:rsid w:val="000F0F71"/>
    <w:rsid w:val="00110532"/>
    <w:rsid w:val="00163C88"/>
    <w:rsid w:val="001918E0"/>
    <w:rsid w:val="002365A9"/>
    <w:rsid w:val="00252892"/>
    <w:rsid w:val="00254941"/>
    <w:rsid w:val="002B08EC"/>
    <w:rsid w:val="002C7843"/>
    <w:rsid w:val="002D002E"/>
    <w:rsid w:val="002F4B81"/>
    <w:rsid w:val="003425F8"/>
    <w:rsid w:val="0035412E"/>
    <w:rsid w:val="00365827"/>
    <w:rsid w:val="00386B71"/>
    <w:rsid w:val="00391704"/>
    <w:rsid w:val="00394EF6"/>
    <w:rsid w:val="003B7B58"/>
    <w:rsid w:val="003E6A22"/>
    <w:rsid w:val="003F224F"/>
    <w:rsid w:val="00403F89"/>
    <w:rsid w:val="00480D2C"/>
    <w:rsid w:val="004D0895"/>
    <w:rsid w:val="00502125"/>
    <w:rsid w:val="005136AA"/>
    <w:rsid w:val="0052678C"/>
    <w:rsid w:val="00531B35"/>
    <w:rsid w:val="00543E50"/>
    <w:rsid w:val="005757B3"/>
    <w:rsid w:val="00591850"/>
    <w:rsid w:val="005A65A1"/>
    <w:rsid w:val="005C1C94"/>
    <w:rsid w:val="005F3B59"/>
    <w:rsid w:val="00640023"/>
    <w:rsid w:val="006A12B9"/>
    <w:rsid w:val="006A5175"/>
    <w:rsid w:val="006B074D"/>
    <w:rsid w:val="006C1D24"/>
    <w:rsid w:val="006C61FA"/>
    <w:rsid w:val="006D7EC5"/>
    <w:rsid w:val="006E12FD"/>
    <w:rsid w:val="006F655E"/>
    <w:rsid w:val="007216EE"/>
    <w:rsid w:val="0074652D"/>
    <w:rsid w:val="007E10E0"/>
    <w:rsid w:val="007F4DFC"/>
    <w:rsid w:val="00815F7A"/>
    <w:rsid w:val="00831400"/>
    <w:rsid w:val="00847CE5"/>
    <w:rsid w:val="00864452"/>
    <w:rsid w:val="00876B6F"/>
    <w:rsid w:val="00917415"/>
    <w:rsid w:val="00934BB6"/>
    <w:rsid w:val="009455BF"/>
    <w:rsid w:val="00955791"/>
    <w:rsid w:val="00964079"/>
    <w:rsid w:val="00965503"/>
    <w:rsid w:val="00977221"/>
    <w:rsid w:val="009A0B08"/>
    <w:rsid w:val="009E6462"/>
    <w:rsid w:val="00A84132"/>
    <w:rsid w:val="00AA5070"/>
    <w:rsid w:val="00AB4362"/>
    <w:rsid w:val="00AD1268"/>
    <w:rsid w:val="00AE6169"/>
    <w:rsid w:val="00AF3547"/>
    <w:rsid w:val="00B75A7D"/>
    <w:rsid w:val="00BA6BF0"/>
    <w:rsid w:val="00BF0684"/>
    <w:rsid w:val="00C30855"/>
    <w:rsid w:val="00C45FF9"/>
    <w:rsid w:val="00C64316"/>
    <w:rsid w:val="00C90DB2"/>
    <w:rsid w:val="00CF22E3"/>
    <w:rsid w:val="00D06688"/>
    <w:rsid w:val="00D3387F"/>
    <w:rsid w:val="00D77557"/>
    <w:rsid w:val="00D92B20"/>
    <w:rsid w:val="00DA6C22"/>
    <w:rsid w:val="00DE2D72"/>
    <w:rsid w:val="00E44E38"/>
    <w:rsid w:val="00EE0655"/>
    <w:rsid w:val="00EF2517"/>
    <w:rsid w:val="00F15DE6"/>
    <w:rsid w:val="00F40D82"/>
    <w:rsid w:val="00F51CA6"/>
    <w:rsid w:val="00F54A72"/>
    <w:rsid w:val="00F63FE9"/>
    <w:rsid w:val="00F74A3A"/>
    <w:rsid w:val="00F81801"/>
    <w:rsid w:val="00FA328D"/>
    <w:rsid w:val="00FA4644"/>
    <w:rsid w:val="049F2330"/>
    <w:rsid w:val="0AA8569A"/>
    <w:rsid w:val="1B285AE1"/>
    <w:rsid w:val="375D0A04"/>
    <w:rsid w:val="725540E3"/>
    <w:rsid w:val="77FE64A4"/>
    <w:rsid w:val="7EF85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4</Pages>
  <Words>445</Words>
  <Characters>2540</Characters>
  <Lines>21</Lines>
  <Paragraphs>5</Paragraphs>
  <TotalTime>0</TotalTime>
  <ScaleCrop>false</ScaleCrop>
  <LinksUpToDate>false</LinksUpToDate>
  <CharactersWithSpaces>2980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2021-05-17T06:25:00Z</dcterms:created>
  <dc:creator>lujinzhi</dc:creator>
  <cp:lastModifiedBy>左明杰</cp:lastModifiedBy>
  <dcterms:modified xsi:type="dcterms:W3CDTF">2023-08-07T06:10:42Z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B17085C7716646E0B01F399AB632D3B7</vt:lpwstr>
  </property>
</Properties>
</file>